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B1C" w:rsidRPr="00D407C5" w:rsidRDefault="004F0B1C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4B367A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15.03.2022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№ </w:t>
                            </w:r>
                            <w:r w:rsidR="004B367A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3-269</w:t>
                            </w:r>
                          </w:p>
                          <w:p w:rsidR="004F0B1C" w:rsidRPr="00CA01C7" w:rsidRDefault="004F0B1C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4F0B1C" w:rsidRDefault="004F0B1C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4F0B1C" w:rsidRPr="00D407C5" w:rsidRDefault="004F0B1C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4B367A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15.03.2022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4B367A">
                        <w:rPr>
                          <w:rFonts w:ascii="PT Astra Serif" w:hAnsi="PT Astra Serif"/>
                          <w:sz w:val="32"/>
                          <w:szCs w:val="32"/>
                        </w:rPr>
                        <w:t>3-269</w:t>
                      </w:r>
                    </w:p>
                    <w:p w:rsidR="004F0B1C" w:rsidRPr="00CA01C7" w:rsidRDefault="004F0B1C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4F0B1C" w:rsidRDefault="004F0B1C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B6C" w:rsidRPr="00831B6C" w:rsidRDefault="00831B6C" w:rsidP="00831B6C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831B6C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1-13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 «Об общих принципах организации местного самоуправления в Российской Федерации», </w:t>
      </w:r>
      <w:r w:rsidR="004F0B1C" w:rsidRPr="004F0B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город Щекино Щекинского района от 28.02.2022 № 55-235 «О внесении изменений в решение Собрания депутатов муниципального образования город Щекино Щекинского района от 16.12.2021 № 54 – 223 «О бюджете муниципального образования город Щекино Щекинского района на 2022 год и на плановый</w:t>
      </w:r>
      <w:proofErr w:type="gramEnd"/>
      <w:r w:rsidR="004F0B1C" w:rsidRPr="004F0B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период 2023 и 2024 годов»</w:t>
      </w:r>
      <w:r w:rsidR="004F0B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651167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кого района от  10.01.2022 №</w:t>
      </w:r>
      <w:r w:rsidR="00312B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1-13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», изложив приложение в новой редакции (приложение).</w:t>
      </w:r>
    </w:p>
    <w:p w:rsidR="002E678B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1D59" w:rsidRDefault="00BC1D59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A21696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1391" w:rsidRDefault="00E2139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1391" w:rsidRDefault="00E2139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1391" w:rsidRDefault="00E2139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1391" w:rsidRDefault="00E2139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1391" w:rsidRDefault="00E21391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B20264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2E678B" w:rsidP="00C6109C">
      <w:pPr>
        <w:widowControl w:val="0"/>
        <w:tabs>
          <w:tab w:val="center" w:pos="4677"/>
        </w:tabs>
        <w:autoSpaceDE w:val="0"/>
        <w:autoSpaceDN w:val="0"/>
        <w:adjustRightInd w:val="0"/>
        <w:ind w:right="227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9"/>
          <w:footerReference w:type="first" r:id="rId10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C6109C" w:rsidRPr="00C6109C" w:rsidRDefault="004B367A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15.03.2022 № 3-269</w:t>
            </w:r>
          </w:p>
          <w:p w:rsidR="00C6109C" w:rsidRDefault="00C6109C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0F37F7" w:rsidRPr="00C6109C" w:rsidRDefault="00312B0B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0F37F7" w:rsidRPr="00C6109C" w:rsidRDefault="002D5303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="000F37F7"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10.01.2022  № 1-13</w:t>
            </w:r>
          </w:p>
        </w:tc>
      </w:tr>
    </w:tbl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</w:t>
      </w: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1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584B6F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241A87" w:rsidRPr="00584B6F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144 958,2</w:t>
            </w:r>
            <w:r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:rsidR="000F37F7" w:rsidRPr="00584B6F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241A87"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13 451,3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="00260988" w:rsidRPr="006505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фонда города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CD10AD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A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D10AD" w:rsidRPr="00CD10A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6949DC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Обслуживание</w:t>
            </w:r>
            <w:r w:rsidR="005811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281F5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281F5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14142E" w:rsidRPr="000E1751" w:rsidTr="0014142E">
        <w:trPr>
          <w:trHeight w:val="2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14142E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6949DC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</w:tbl>
    <w:p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2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2326"/>
        <w:gridCol w:w="4825"/>
      </w:tblGrid>
      <w:tr w:rsidR="000F37F7" w:rsidRPr="000F37F7" w:rsidTr="00DF6022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DF6022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F5FE8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:rsidTr="00DF6022">
        <w:trPr>
          <w:trHeight w:val="302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Выкуп жилых помещений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5" w:type="pct"/>
            <w:shd w:val="clear" w:color="auto" w:fill="auto"/>
          </w:tcPr>
          <w:p w:rsidR="00C90387" w:rsidRPr="000F37F7" w:rsidRDefault="00D53775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53775">
              <w:rPr>
                <w:rFonts w:ascii="PT Astra Serif" w:eastAsia="Times New Roman" w:hAnsi="PT Astra Serif" w:cs="Times New Roman"/>
                <w:lang w:eastAsia="ru-RU"/>
              </w:rPr>
              <w:t>Количество выкупаемых помещений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Снос расселенных домов.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:rsidR="00C90387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Количество снесенных домов</w:t>
            </w:r>
          </w:p>
        </w:tc>
      </w:tr>
      <w:tr w:rsidR="00F139C4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Обслуживание </w:t>
            </w:r>
            <w:r w:rsidR="0058119C">
              <w:rPr>
                <w:rFonts w:ascii="PT Astra Serif" w:eastAsia="Times New Roman" w:hAnsi="PT Astra Serif" w:cs="Times New Roman"/>
                <w:lang w:eastAsia="ru-RU"/>
              </w:rPr>
              <w:t xml:space="preserve">и ремонт </w:t>
            </w: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газопровода.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5" w:type="pct"/>
            <w:shd w:val="clear" w:color="auto" w:fill="auto"/>
          </w:tcPr>
          <w:p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F139C4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5" w:type="pct"/>
            <w:shd w:val="clear" w:color="auto" w:fill="auto"/>
          </w:tcPr>
          <w:p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:rsidTr="00DF6022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5" w:type="pct"/>
            <w:shd w:val="clear" w:color="auto" w:fill="auto"/>
          </w:tcPr>
          <w:p w:rsidR="000F37F7" w:rsidRPr="000F37F7" w:rsidRDefault="00DF6022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6022">
              <w:rPr>
                <w:rFonts w:ascii="PT Astra Serif" w:eastAsia="Times New Roman" w:hAnsi="PT Astra Serif" w:cs="Times New Roman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650599" w:rsidRPr="00680B99" w:rsidTr="00650599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0599" w:rsidRPr="00680B99" w:rsidTr="00650599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650599" w:rsidRPr="00680B99" w:rsidTr="00650599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F068F2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13 451,3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84B6F" w:rsidRDefault="00F068F2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144 958,2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F068F2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13 451,3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F068F2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144 958,2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DF09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о-</w:t>
            </w:r>
            <w:proofErr w:type="gram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, газо-, водоснабжения и водоотведения населения.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C25816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13 251,3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C25816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143 158,2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C25816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13 251,3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C25816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143 158,2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C77510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1 800,0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1 800,0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:rsidTr="00804989">
        <w:trPr>
          <w:trHeight w:val="1064"/>
        </w:trPr>
        <w:tc>
          <w:tcPr>
            <w:tcW w:w="8506" w:type="dxa"/>
            <w:hideMark/>
          </w:tcPr>
          <w:p w:rsidR="00804989" w:rsidRPr="009E4ED0" w:rsidRDefault="0080498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A21696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281F5C">
        <w:trPr>
          <w:trHeight w:val="718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ремонтов муниципального жилищного фонда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Установка в муниципальных квартирах г. Щекино индивидуальных приборов учета энергоресурсов.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Выкуп жилых помещений.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Снос расселенных домов.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Обслуживание</w:t>
            </w:r>
            <w:r w:rsidR="00BF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газопровода.</w:t>
            </w:r>
          </w:p>
          <w:p w:rsidR="000F37F7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Ремонт и содержание канализационных коллекторов в муниципальном образовании город Щекино Щекинского района.</w:t>
            </w:r>
          </w:p>
          <w:p w:rsidR="00281F5C" w:rsidRPr="006F1004" w:rsidRDefault="00281F5C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t xml:space="preserve"> </w:t>
            </w:r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</w:p>
          <w:p w:rsidR="006F1004" w:rsidRPr="006F1004" w:rsidRDefault="00281F5C" w:rsidP="00281F5C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91E7B" w:rsidRPr="006F1004">
              <w:rPr>
                <w:sz w:val="28"/>
                <w:szCs w:val="28"/>
              </w:rPr>
              <w:t xml:space="preserve"> 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Поддержание канализационных коллекторов в рабочем состоянии.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C25816"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144 958,2</w:t>
            </w:r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C25816"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13 451,3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2080"/>
        <w:gridCol w:w="1959"/>
        <w:gridCol w:w="1276"/>
        <w:gridCol w:w="67"/>
        <w:gridCol w:w="1236"/>
        <w:gridCol w:w="1677"/>
        <w:gridCol w:w="1467"/>
        <w:gridCol w:w="1507"/>
        <w:gridCol w:w="60"/>
        <w:gridCol w:w="1836"/>
        <w:gridCol w:w="1506"/>
      </w:tblGrid>
      <w:tr w:rsidR="000F37F7" w:rsidRPr="000F37F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3D257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</w:t>
            </w:r>
            <w:r w:rsidR="00584B6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165643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290CA5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65643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65643" w:rsidRPr="000F37F7" w:rsidTr="00165643">
        <w:trPr>
          <w:trHeight w:val="2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0F37F7" w:rsidRDefault="00165643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165643" w:rsidRDefault="00165643" w:rsidP="0016564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12C04" w:rsidRPr="000F37F7" w:rsidTr="00165643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0F37F7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E2196E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Снос расселенных домов, признанных непригодными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для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E2196E" w:rsidRPr="006F1004" w:rsidRDefault="00E2196E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96E" w:rsidRPr="000F37F7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584B6F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2196E"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584B6F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584B6F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584B6F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2196E"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Pr="00D64E87" w:rsidRDefault="00E2196E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2023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A86F9A" w:rsidRPr="000F37F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проживания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6F9A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A86F9A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A86F9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Ремонт и содержание канализационных коллекторов в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муниципальном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A86F9A" w:rsidRPr="006F1004" w:rsidRDefault="00A86F9A" w:rsidP="00A86F9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Default="00A86F9A" w:rsidP="00A86F9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  <w:proofErr w:type="gramEnd"/>
          </w:p>
          <w:p w:rsidR="00A86F9A" w:rsidRPr="00A86F9A" w:rsidRDefault="00A86F9A" w:rsidP="00A86F9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90CA5" w:rsidRPr="000F37F7" w:rsidTr="00122EE2">
        <w:trPr>
          <w:trHeight w:val="28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образовании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город</w:t>
            </w:r>
          </w:p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строительства, благоустройства и</w:t>
            </w:r>
          </w:p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A86F9A">
        <w:trPr>
          <w:trHeight w:val="236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A86F9A" w:rsidRDefault="00290CA5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96E9C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96E9C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96E9C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71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1D59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  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312B0B">
        <w:trPr>
          <w:trHeight w:val="281"/>
        </w:trPr>
        <w:tc>
          <w:tcPr>
            <w:tcW w:w="58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Calibri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C25816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143 158,2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C25816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143 158,2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EC41F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13 251,3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C25816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13 251,3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BC1D59" w:rsidRPr="000F37F7" w:rsidTr="00312B0B">
        <w:trPr>
          <w:trHeight w:val="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4B0960">
              <w:rPr>
                <w:rFonts w:ascii="PT Astra Serif" w:eastAsia="Times New Roman" w:hAnsi="PT Astra Serif" w:cs="Times New Roman"/>
                <w:lang w:eastAsia="ru-RU"/>
              </w:rPr>
              <w:t xml:space="preserve">Администрация Щекинского района (управление по вопросам жизнеобеспечения, </w:t>
            </w: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:rsidTr="00804989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04989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:rsidTr="004C4FE2">
        <w:tc>
          <w:tcPr>
            <w:tcW w:w="4642" w:type="dxa"/>
            <w:shd w:val="clear" w:color="auto" w:fill="auto"/>
          </w:tcPr>
          <w:p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№3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</w:t>
            </w:r>
            <w:proofErr w:type="gramStart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</w:tbl>
    <w:p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701"/>
        <w:gridCol w:w="1984"/>
      </w:tblGrid>
      <w:tr w:rsidR="00B910A0" w:rsidRPr="00804989" w:rsidTr="00B910A0">
        <w:trPr>
          <w:trHeight w:val="1064"/>
        </w:trPr>
        <w:tc>
          <w:tcPr>
            <w:tcW w:w="6238" w:type="dxa"/>
            <w:hideMark/>
          </w:tcPr>
          <w:p w:rsidR="00B910A0" w:rsidRPr="00804989" w:rsidRDefault="00B910A0" w:rsidP="008049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312B0B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:rsidTr="00A21696">
        <w:trPr>
          <w:trHeight w:val="41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:rsidTr="00A21696">
        <w:trPr>
          <w:trHeight w:val="212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967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:rsidTr="00A21696">
        <w:trPr>
          <w:trHeight w:val="1994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:rsidTr="00A21696">
        <w:trPr>
          <w:trHeight w:val="7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:rsidTr="00A21696">
        <w:trPr>
          <w:trHeight w:val="28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:rsidTr="00A21696">
        <w:trPr>
          <w:trHeight w:val="131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:rsidTr="00A21696">
        <w:trPr>
          <w:trHeight w:val="134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:rsidTr="004C4FE2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10A0" w:rsidRDefault="00B910A0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9A" w:rsidRDefault="0023219A" w:rsidP="000F37F7">
      <w:r>
        <w:separator/>
      </w:r>
    </w:p>
  </w:endnote>
  <w:endnote w:type="continuationSeparator" w:id="0">
    <w:p w:rsidR="0023219A" w:rsidRDefault="0023219A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Default="004F0B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9A" w:rsidRDefault="0023219A" w:rsidP="000F37F7">
      <w:r>
        <w:separator/>
      </w:r>
    </w:p>
  </w:footnote>
  <w:footnote w:type="continuationSeparator" w:id="0">
    <w:p w:rsidR="0023219A" w:rsidRDefault="0023219A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Pr="00EB1850" w:rsidRDefault="004F0B1C">
    <w:pPr>
      <w:pStyle w:val="a3"/>
      <w:jc w:val="center"/>
    </w:pPr>
    <w:r w:rsidRPr="00EB1850">
      <w:t>3</w:t>
    </w:r>
  </w:p>
  <w:p w:rsidR="004F0B1C" w:rsidRDefault="004F0B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Default="004F0B1C">
    <w:pPr>
      <w:pStyle w:val="a3"/>
      <w:jc w:val="center"/>
    </w:pPr>
  </w:p>
  <w:p w:rsidR="004F0B1C" w:rsidRDefault="004F0B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/>
    <w:sdtContent>
      <w:p w:rsidR="004F0B1C" w:rsidRDefault="004F0B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391">
          <w:rPr>
            <w:noProof/>
          </w:rPr>
          <w:t>18</w:t>
        </w:r>
        <w:r>
          <w:fldChar w:fldCharType="end"/>
        </w:r>
      </w:p>
    </w:sdtContent>
  </w:sdt>
  <w:p w:rsidR="004F0B1C" w:rsidRDefault="004F0B1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Default="004F0B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8721E"/>
    <w:rsid w:val="000B28C5"/>
    <w:rsid w:val="000F37F7"/>
    <w:rsid w:val="00112C04"/>
    <w:rsid w:val="00112CD3"/>
    <w:rsid w:val="0014142E"/>
    <w:rsid w:val="00142E23"/>
    <w:rsid w:val="001465F6"/>
    <w:rsid w:val="00165643"/>
    <w:rsid w:val="00174DB0"/>
    <w:rsid w:val="00197F86"/>
    <w:rsid w:val="0023219A"/>
    <w:rsid w:val="00241A87"/>
    <w:rsid w:val="00260988"/>
    <w:rsid w:val="00281F5C"/>
    <w:rsid w:val="00290CA5"/>
    <w:rsid w:val="002C21BE"/>
    <w:rsid w:val="002D5303"/>
    <w:rsid w:val="002E678B"/>
    <w:rsid w:val="00312B0B"/>
    <w:rsid w:val="003D257D"/>
    <w:rsid w:val="003E33AE"/>
    <w:rsid w:val="003F27C7"/>
    <w:rsid w:val="0049156F"/>
    <w:rsid w:val="004B0960"/>
    <w:rsid w:val="004B367A"/>
    <w:rsid w:val="004C4FE2"/>
    <w:rsid w:val="004F0B1C"/>
    <w:rsid w:val="0058119C"/>
    <w:rsid w:val="00584B6F"/>
    <w:rsid w:val="005A1D5B"/>
    <w:rsid w:val="005B2E91"/>
    <w:rsid w:val="005F609D"/>
    <w:rsid w:val="00625D22"/>
    <w:rsid w:val="00650599"/>
    <w:rsid w:val="00651167"/>
    <w:rsid w:val="00655069"/>
    <w:rsid w:val="006E0D3D"/>
    <w:rsid w:val="006F1004"/>
    <w:rsid w:val="0074684F"/>
    <w:rsid w:val="007B447A"/>
    <w:rsid w:val="00804989"/>
    <w:rsid w:val="00831B6C"/>
    <w:rsid w:val="00880B25"/>
    <w:rsid w:val="00886B57"/>
    <w:rsid w:val="00891E7B"/>
    <w:rsid w:val="008950DF"/>
    <w:rsid w:val="008A6CE7"/>
    <w:rsid w:val="008D4CEF"/>
    <w:rsid w:val="008E7C6E"/>
    <w:rsid w:val="00981D67"/>
    <w:rsid w:val="009A5964"/>
    <w:rsid w:val="009B2F03"/>
    <w:rsid w:val="00A1259E"/>
    <w:rsid w:val="00A21696"/>
    <w:rsid w:val="00A4517C"/>
    <w:rsid w:val="00A85BD1"/>
    <w:rsid w:val="00A86F9A"/>
    <w:rsid w:val="00A92C7A"/>
    <w:rsid w:val="00B4027F"/>
    <w:rsid w:val="00B5090C"/>
    <w:rsid w:val="00B910A0"/>
    <w:rsid w:val="00BC1D59"/>
    <w:rsid w:val="00BC3DA9"/>
    <w:rsid w:val="00BF2242"/>
    <w:rsid w:val="00C01311"/>
    <w:rsid w:val="00C069B3"/>
    <w:rsid w:val="00C25816"/>
    <w:rsid w:val="00C34E1D"/>
    <w:rsid w:val="00C6109C"/>
    <w:rsid w:val="00C67C4A"/>
    <w:rsid w:val="00C77510"/>
    <w:rsid w:val="00C90387"/>
    <w:rsid w:val="00C96DDB"/>
    <w:rsid w:val="00CA7055"/>
    <w:rsid w:val="00CD10AD"/>
    <w:rsid w:val="00CF6830"/>
    <w:rsid w:val="00D411F0"/>
    <w:rsid w:val="00D532C0"/>
    <w:rsid w:val="00D53775"/>
    <w:rsid w:val="00D64E87"/>
    <w:rsid w:val="00D705FE"/>
    <w:rsid w:val="00DF0961"/>
    <w:rsid w:val="00DF6022"/>
    <w:rsid w:val="00E117A0"/>
    <w:rsid w:val="00E13AAF"/>
    <w:rsid w:val="00E21391"/>
    <w:rsid w:val="00E2196E"/>
    <w:rsid w:val="00E340AB"/>
    <w:rsid w:val="00E703B7"/>
    <w:rsid w:val="00EC41F8"/>
    <w:rsid w:val="00EF5FE8"/>
    <w:rsid w:val="00F068F2"/>
    <w:rsid w:val="00F139C4"/>
    <w:rsid w:val="00F506CE"/>
    <w:rsid w:val="00F537D1"/>
    <w:rsid w:val="00F5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6</cp:revision>
  <cp:lastPrinted>2022-03-14T12:59:00Z</cp:lastPrinted>
  <dcterms:created xsi:type="dcterms:W3CDTF">2022-03-09T09:27:00Z</dcterms:created>
  <dcterms:modified xsi:type="dcterms:W3CDTF">2022-03-15T13:36:00Z</dcterms:modified>
</cp:coreProperties>
</file>