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2A8" w:rsidRPr="00D407C5" w:rsidRDefault="00B732A8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______________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______________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732A8" w:rsidRPr="00CA01C7" w:rsidRDefault="00B732A8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B732A8" w:rsidRDefault="00B732A8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4B72D1" w:rsidRPr="00D407C5" w:rsidRDefault="004B72D1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______________ №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______________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B72D1" w:rsidRPr="00CA01C7" w:rsidRDefault="004B72D1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4B72D1" w:rsidRDefault="004B72D1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842" w:rsidRPr="00470842" w:rsidRDefault="00470842" w:rsidP="00470842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7084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AF315B" w:rsidRDefault="00470842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7084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1-15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 Щекинский район «</w:t>
      </w:r>
      <w:r w:rsidR="002B7FB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E678B" w:rsidRDefault="00B732A8" w:rsidP="002E678B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9" o:title=""/>
            <w10:wrap anchory="page"/>
          </v:shape>
          <o:OLEObject Type="Embed" ProgID="Word.Picture.8" ShapeID="_x0000_s1026" DrawAspect="Content" ObjectID="_1706703097" r:id="rId10"/>
        </w:pic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7084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1</w:t>
      </w:r>
      <w:r w:rsidR="00470842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4708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470842">
        <w:rPr>
          <w:rFonts w:ascii="PT Astra Serif" w:hAnsi="PT Astra Serif"/>
          <w:sz w:val="28"/>
          <w:szCs w:val="28"/>
        </w:rPr>
        <w:t>Щекинского</w:t>
      </w:r>
      <w:r w:rsidR="00470842" w:rsidRPr="00333551">
        <w:rPr>
          <w:rFonts w:ascii="PT Astra Serif" w:hAnsi="PT Astra Serif"/>
          <w:sz w:val="28"/>
          <w:szCs w:val="28"/>
        </w:rPr>
        <w:t xml:space="preserve"> район</w:t>
      </w:r>
      <w:r w:rsidR="00470842">
        <w:rPr>
          <w:rFonts w:ascii="PT Astra Serif" w:hAnsi="PT Astra Serif"/>
          <w:sz w:val="28"/>
          <w:szCs w:val="28"/>
        </w:rPr>
        <w:t>а от  10.01.2022 № 1-15</w:t>
      </w:r>
      <w:r w:rsidR="00470842" w:rsidRPr="00331E7B">
        <w:rPr>
          <w:rFonts w:ascii="PT Astra Serif" w:hAnsi="PT Astra Serif"/>
          <w:sz w:val="28"/>
          <w:szCs w:val="28"/>
        </w:rPr>
        <w:t xml:space="preserve"> </w:t>
      </w:r>
      <w:r w:rsidR="00470842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</w:t>
      </w:r>
      <w:r w:rsidR="00470842" w:rsidRP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470842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изложив приложение в новой редакции (приложение).</w:t>
      </w:r>
    </w:p>
    <w:p w:rsidR="00475E44" w:rsidRDefault="00475E44" w:rsidP="00475E44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</w:t>
      </w:r>
      <w:r w:rsidRPr="005C74B4">
        <w:rPr>
          <w:rFonts w:ascii="PT Astra Serif" w:hAnsi="PT Astra Serif"/>
          <w:sz w:val="28"/>
          <w:szCs w:val="28"/>
        </w:rPr>
        <w:lastRenderedPageBreak/>
        <w:t xml:space="preserve">информационном стенде администрации Щекинского района по адресу: </w:t>
      </w:r>
      <w:r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:rsidR="00475E44" w:rsidRDefault="00475E44" w:rsidP="00475E4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194423">
          <w:headerReference w:type="defaul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678B" w:rsidRPr="00475E44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C66B64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C66B64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C66B64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:rsidR="002E678B" w:rsidRPr="00C66B64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2E678B" w:rsidRPr="00C66B64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2E678B" w:rsidRPr="00C66B64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</w:p>
    <w:p w:rsidR="00104AC0" w:rsidRPr="00C66B64" w:rsidRDefault="001B6645" w:rsidP="00104AC0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С.В. Муравьева</w:t>
      </w:r>
      <w:r w:rsidR="00104AC0"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Т.В. Широкова</w:t>
      </w:r>
    </w:p>
    <w:p w:rsidR="002E678B" w:rsidRPr="00C66B64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B64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475E44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B6645" w:rsidRPr="00475E44" w:rsidRDefault="001B6645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475E4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B2026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475E44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4C7E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 внесении изменений в постановление администрации Щекинско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го района от 10.01.2022</w:t>
      </w:r>
      <w:r w:rsidRPr="004C7E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№ 1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-15 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 Щекинский район «</w:t>
      </w:r>
      <w:r w:rsidR="001B6645" w:rsidRPr="001B664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2B7FB1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75E44" w:rsidTr="004C1246">
        <w:trPr>
          <w:trHeight w:val="2850"/>
        </w:trPr>
        <w:tc>
          <w:tcPr>
            <w:tcW w:w="4330" w:type="dxa"/>
            <w:vAlign w:val="center"/>
          </w:tcPr>
          <w:p w:rsidR="00475E44" w:rsidRPr="005C74B4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475E44" w:rsidRDefault="00475E44" w:rsidP="004C12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___________ № ___________</w:t>
            </w:r>
          </w:p>
          <w:p w:rsidR="00475E44" w:rsidRPr="005C74B4" w:rsidRDefault="00475E44" w:rsidP="004C1246">
            <w:pPr>
              <w:jc w:val="center"/>
              <w:rPr>
                <w:rFonts w:ascii="PT Astra Serif" w:hAnsi="PT Astra Serif"/>
              </w:rPr>
            </w:pPr>
          </w:p>
          <w:p w:rsidR="00475E44" w:rsidRPr="005C74B4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475E44" w:rsidRDefault="00475E44" w:rsidP="004C124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Pr="000E1971">
              <w:rPr>
                <w:rFonts w:ascii="PT Astra Serif" w:hAnsi="PT Astra Serif"/>
                <w:color w:val="000000"/>
              </w:rPr>
              <w:t>10.01.2022  № 1-</w:t>
            </w: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</w:tbl>
    <w:p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 Щекинский район «</w:t>
      </w:r>
      <w:r w:rsidR="001B6645" w:rsidRPr="001B664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1B6645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</w:t>
      </w:r>
      <w:proofErr w:type="gramStart"/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0F37F7" w:rsidRDefault="001B6645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</w:t>
      </w:r>
      <w:r w:rsidR="000F37F7"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6426F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642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99409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4C1246" w:rsidRPr="0099409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38 321,9</w:t>
            </w:r>
            <w:r w:rsidR="007C743D" w:rsidRPr="0099409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99409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7C743D" w:rsidRPr="00994094" w:rsidRDefault="00475E44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2022 год – 9 148,5</w:t>
            </w:r>
            <w:r w:rsidR="007C743D"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4 336,6</w:t>
            </w: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4 336,6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3 416,7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F37F7" w:rsidRPr="000F37F7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164"/>
        <w:gridCol w:w="280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75E44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475E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06426F" w:rsidRPr="00475E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Default="003D257D" w:rsidP="0006426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06426F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AD4ABF" w:rsidRPr="003D257D" w:rsidRDefault="00AD4ABF" w:rsidP="00AD4AB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="007C743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AD4ABF" w:rsidRPr="000E1751" w:rsidTr="00AD4ABF">
        <w:trPr>
          <w:trHeight w:val="31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BF" w:rsidRPr="00475E44" w:rsidRDefault="00AD4ABF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Задача: 1.</w:t>
            </w:r>
          </w:p>
          <w:p w:rsidR="00AD4ABF" w:rsidRPr="000E1751" w:rsidRDefault="00AD4ABF" w:rsidP="00AD4ABF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AD4ABF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06116B" w:rsidP="00BE281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муниципального образования Щекинский район Муравьева С.В.</w:t>
            </w:r>
            <w:r w:rsid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2A79E4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заключенных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2A79E4" w:rsidRPr="000E1751" w:rsidTr="002A79E4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E4" w:rsidRPr="00BE2816" w:rsidRDefault="002A79E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AD4ABF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53CA1" w:rsidRDefault="002A79E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Широкова Т.В.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2A79E4" w:rsidRPr="000E1751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</w:t>
            </w: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</w:t>
            </w: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2A79E4" w:rsidRPr="000E1751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2B7FB1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F37F7" w:rsidRPr="000F37F7" w:rsidTr="00BE2816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BE2816">
        <w:trPr>
          <w:trHeight w:val="170"/>
        </w:trPr>
        <w:tc>
          <w:tcPr>
            <w:tcW w:w="1400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BE2816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3168A"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BE2816" w:rsidRDefault="007C743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BE2816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  <w:p w:rsidR="00BE2816" w:rsidRPr="000F37F7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  <w:p w:rsidR="00BE2816" w:rsidRPr="000F37F7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BE2816" w:rsidRPr="000F37F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BE2816" w:rsidRPr="000F37F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BE2816" w:rsidRPr="004011DC" w:rsidRDefault="00BE2816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BE2816" w:rsidRPr="004011DC" w:rsidRDefault="00BE2816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0F37F7" w:rsidTr="00BE2816">
        <w:trPr>
          <w:trHeight w:val="161"/>
        </w:trPr>
        <w:tc>
          <w:tcPr>
            <w:tcW w:w="1400" w:type="pc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BE2816" w:rsidRPr="00BE2816" w:rsidRDefault="00BE281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BE281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6523A2" w:rsidRPr="000F37F7" w:rsidTr="00BE2816">
        <w:trPr>
          <w:trHeight w:val="161"/>
        </w:trPr>
        <w:tc>
          <w:tcPr>
            <w:tcW w:w="1400" w:type="pct"/>
            <w:shd w:val="clear" w:color="auto" w:fill="auto"/>
          </w:tcPr>
          <w:p w:rsidR="006523A2" w:rsidRPr="006523A2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6523A2" w:rsidRPr="006523A2" w:rsidRDefault="006523A2" w:rsidP="00652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6523A2" w:rsidRPr="006523A2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2A79E4" w:rsidRPr="00680B99" w:rsidTr="002A79E4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A79E4" w:rsidRPr="00680B99" w:rsidTr="002A79E4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2A79E4" w:rsidRPr="00680B99" w:rsidTr="002A79E4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2A79E4" w:rsidRPr="00DE2890" w:rsidTr="002A79E4">
        <w:trPr>
          <w:trHeight w:val="70"/>
        </w:trPr>
        <w:tc>
          <w:tcPr>
            <w:tcW w:w="1504" w:type="pct"/>
            <w:shd w:val="clear" w:color="auto" w:fill="auto"/>
          </w:tcPr>
          <w:p w:rsidR="002A79E4" w:rsidRPr="00165643" w:rsidRDefault="002A79E4" w:rsidP="002A79E4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2A79E4" w:rsidRPr="00165643" w:rsidRDefault="002A79E4" w:rsidP="002A79E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9 148,5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4 336,6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4 336,6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38 321,9</w:t>
            </w:r>
          </w:p>
        </w:tc>
      </w:tr>
      <w:tr w:rsidR="00D35885" w:rsidRPr="00DE2890" w:rsidTr="002A79E4">
        <w:trPr>
          <w:trHeight w:val="70"/>
        </w:trPr>
        <w:tc>
          <w:tcPr>
            <w:tcW w:w="1504" w:type="pct"/>
            <w:shd w:val="clear" w:color="auto" w:fill="auto"/>
          </w:tcPr>
          <w:p w:rsidR="00D35885" w:rsidRPr="00165643" w:rsidRDefault="00D35885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2577AF" w:rsidRPr="00DE2890" w:rsidTr="002A79E4">
        <w:tc>
          <w:tcPr>
            <w:tcW w:w="1504" w:type="pct"/>
            <w:shd w:val="clear" w:color="auto" w:fill="auto"/>
          </w:tcPr>
          <w:p w:rsidR="002577AF" w:rsidRPr="00165643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2577AF" w:rsidRPr="00DE2890" w:rsidTr="002A79E4">
        <w:tc>
          <w:tcPr>
            <w:tcW w:w="1504" w:type="pct"/>
            <w:shd w:val="clear" w:color="auto" w:fill="auto"/>
          </w:tcPr>
          <w:p w:rsidR="002577AF" w:rsidRPr="00165643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5 918,1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7 757,9</w:t>
            </w:r>
          </w:p>
        </w:tc>
      </w:tr>
      <w:tr w:rsidR="002577AF" w:rsidRPr="00DE2890" w:rsidTr="002A79E4">
        <w:tc>
          <w:tcPr>
            <w:tcW w:w="1504" w:type="pct"/>
            <w:shd w:val="clear" w:color="auto" w:fill="auto"/>
          </w:tcPr>
          <w:p w:rsidR="002577AF" w:rsidRPr="00165643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3 230,4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577A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30 564,0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</w:t>
            </w:r>
            <w:r>
              <w:rPr>
                <w:rFonts w:ascii="PT Astra Serif" w:eastAsia="Calibri" w:hAnsi="PT Astra Serif" w:cs="Times New Roman"/>
                <w:lang w:eastAsia="ru-RU"/>
              </w:rPr>
              <w:t>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A33A2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9 118,5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38 051,9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5 918,1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7 757,9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3 200,4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30 294,0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</w:t>
            </w:r>
            <w:r>
              <w:rPr>
                <w:rFonts w:ascii="PT Astra Serif" w:eastAsia="Calibri" w:hAnsi="PT Astra Serif" w:cs="Times New Roman"/>
                <w:lang w:eastAsia="ru-RU"/>
              </w:rPr>
              <w:t>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2A79E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Default="004E7C6F" w:rsidP="00D35885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</w:p>
          <w:p w:rsidR="004E7C6F" w:rsidRPr="00165643" w:rsidRDefault="004E7C6F" w:rsidP="00D35885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270,0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270,0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</w:t>
            </w:r>
            <w:r>
              <w:rPr>
                <w:rFonts w:ascii="PT Astra Serif" w:eastAsia="Calibri" w:hAnsi="PT Astra Serif" w:cs="Times New Roman"/>
                <w:lang w:eastAsia="ru-RU"/>
              </w:rPr>
              <w:t>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:rsidTr="002A79E4">
        <w:tc>
          <w:tcPr>
            <w:tcW w:w="1504" w:type="pct"/>
            <w:shd w:val="clear" w:color="auto" w:fill="auto"/>
          </w:tcPr>
          <w:p w:rsidR="004E7C6F" w:rsidRPr="00165643" w:rsidRDefault="004E7C6F" w:rsidP="00A33A2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1985"/>
        <w:gridCol w:w="2268"/>
      </w:tblGrid>
      <w:tr w:rsidR="00D10051" w:rsidRPr="009E4ED0" w:rsidTr="002577AF">
        <w:trPr>
          <w:trHeight w:val="1064"/>
        </w:trPr>
        <w:tc>
          <w:tcPr>
            <w:tcW w:w="6379" w:type="dxa"/>
            <w:hideMark/>
          </w:tcPr>
          <w:p w:rsidR="00D10051" w:rsidRPr="009E4ED0" w:rsidRDefault="00D10051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194423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242AE3" w:rsidRPr="00242AE3" w:rsidRDefault="00C96DDB" w:rsidP="00242A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37F7" w:rsidRPr="004D226E" w:rsidRDefault="00242AE3" w:rsidP="00242A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  <w:r w:rsidR="00C96DDB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2AE3" w:rsidRPr="00242AE3" w:rsidRDefault="006F1004" w:rsidP="00242A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</w:t>
      </w:r>
      <w:proofErr w:type="gramStart"/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C74276" w:rsidRDefault="00242AE3" w:rsidP="00242A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Щекинский район</w:t>
      </w:r>
      <w:r w:rsidR="006F1004"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891E7B" w:rsidP="00AC409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образованию;</w:t>
            </w:r>
          </w:p>
          <w:p w:rsidR="000F37F7" w:rsidRPr="006F1004" w:rsidRDefault="00242AE3" w:rsidP="00AC409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культуре, молодежной политике и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242AE3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6F1004" w:rsidRPr="006F1004" w:rsidRDefault="00242AE3" w:rsidP="00242AE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7B17ED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242AE3" w:rsidRPr="00242AE3" w:rsidRDefault="007B17ED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затрат бюджета муниципального образования Щекинский район на оплату энергоресурсов;</w:t>
            </w:r>
          </w:p>
          <w:p w:rsidR="000F37F7" w:rsidRPr="006F1004" w:rsidRDefault="007B17ED" w:rsidP="00242AE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оплаты за топливно-энергетические ресурсы, потребляемые учреждениями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99409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9222AA"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38 321,9</w:t>
            </w:r>
            <w:r w:rsidR="007B17ED"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99409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7B17ED" w:rsidRPr="00994094" w:rsidRDefault="009222AA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9 148,5</w:t>
            </w:r>
            <w:r w:rsidR="007B17ED"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4 336,6 тыс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4 336,6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3 416,7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3 416,7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год – 3 416,7</w:t>
            </w:r>
            <w:r w:rsidR="00AC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3 416,7</w:t>
            </w:r>
            <w:r w:rsidR="00AC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3 416,7 тыс. руб.</w:t>
            </w:r>
          </w:p>
          <w:p w:rsidR="006F1004" w:rsidRPr="006F1004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3 416,7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B17ED" w:rsidRPr="007B17ED" w:rsidRDefault="00C96DDB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F37F7" w:rsidRPr="000F37F7" w:rsidRDefault="007B17ED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465"/>
        <w:gridCol w:w="1377"/>
        <w:gridCol w:w="72"/>
        <w:gridCol w:w="212"/>
        <w:gridCol w:w="1343"/>
        <w:gridCol w:w="74"/>
        <w:gridCol w:w="709"/>
        <w:gridCol w:w="1035"/>
        <w:gridCol w:w="11"/>
        <w:gridCol w:w="1506"/>
      </w:tblGrid>
      <w:tr w:rsidR="000F37F7" w:rsidRPr="000F37F7" w:rsidTr="00D10051">
        <w:trPr>
          <w:trHeight w:val="33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D10051">
        <w:trPr>
          <w:trHeight w:val="2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D10051">
        <w:trPr>
          <w:trHeight w:val="59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ED579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r w:rsidR="00ED5797">
              <w:rPr>
                <w:rFonts w:ascii="PT Astra Serif" w:eastAsia="Times New Roman" w:hAnsi="PT Astra Serif" w:cs="Times New Roman"/>
                <w:lang w:eastAsia="ru-RU"/>
              </w:rPr>
              <w:t>Щекинский район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</w:t>
            </w:r>
            <w:r w:rsidR="00ED5797">
              <w:rPr>
                <w:rFonts w:ascii="PT Astra Serif" w:eastAsia="Times New Roman" w:hAnsi="PT Astra Serif" w:cs="Times New Roman"/>
                <w:lang w:eastAsia="ru-RU"/>
              </w:rPr>
              <w:t>ного образования</w:t>
            </w:r>
          </w:p>
          <w:p w:rsidR="00ED5797" w:rsidRPr="000F37F7" w:rsidRDefault="00ED579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D10051">
        <w:trPr>
          <w:trHeight w:val="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:rsidTr="00D10051">
        <w:trPr>
          <w:trHeight w:val="61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7B17E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B17ED" w:rsidRPr="007B17ED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732A8" w:rsidRPr="000F37F7" w:rsidTr="004B72D1">
        <w:trPr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4B72D1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B732A8" w:rsidRPr="00112C04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17ED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  <w:p w:rsidR="00B732A8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AD7D02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1 737,5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AD7D02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AD7D02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AD7D02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1 737,5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26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6F1004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287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732A8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732A8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732A8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61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0F5" w:rsidRPr="000F37F7" w:rsidTr="006160F5">
        <w:trPr>
          <w:trHeight w:val="6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6160F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6160F5" w:rsidRDefault="006160F5" w:rsidP="000F37F7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160F5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Default="006160F5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D5F24" w:rsidRPr="000F37F7" w:rsidTr="006160F5">
        <w:trPr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5F24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5F24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5F24" w:rsidRPr="000F37F7" w:rsidTr="00D10051">
        <w:trPr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5F24" w:rsidRPr="000F37F7" w:rsidTr="006160F5">
        <w:trPr>
          <w:trHeight w:val="346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4" w:rsidRPr="000F37F7" w:rsidRDefault="00AD5F24" w:rsidP="00ED5797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C1246">
        <w:trPr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0F37F7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6F1004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32A8" w:rsidRPr="00B732A8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732A8">
              <w:rPr>
                <w:rFonts w:ascii="PT Astra Serif" w:eastAsia="Calibri" w:hAnsi="PT Astra Serif" w:cs="Times New Roman"/>
                <w:lang w:eastAsia="ru-RU"/>
              </w:rPr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6758EE" w:rsidRDefault="00B732A8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1 841,3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6758EE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6758EE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6758EE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lang w:eastAsia="ru-RU"/>
              </w:rPr>
              <w:t>260,0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6758EE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D10051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D1005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812D1E">
        <w:trPr>
          <w:trHeight w:val="29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4C1246">
        <w:trPr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Pr="000F37F7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B732A8" w:rsidRPr="006F1004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32A8" w:rsidRPr="00B732A8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732A8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994094" w:rsidRDefault="00B732A8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5 399,7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994094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994094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4 336,8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994094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1 062,9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994094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6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AD7D02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140,0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Pr="00AD7D02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AD7D02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Pr="00AD7D02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140,0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0F5" w:rsidRPr="000F37F7" w:rsidTr="00B732A8">
        <w:trPr>
          <w:trHeight w:val="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Pr="004C1246" w:rsidRDefault="006160F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33A2E" w:rsidRPr="000F37F7" w:rsidTr="006160F5">
        <w:trPr>
          <w:trHeight w:val="282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2E" w:rsidRPr="000F37F7" w:rsidRDefault="00A33A2E" w:rsidP="009222A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222A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A2E" w:rsidRPr="009222AA" w:rsidRDefault="00A33A2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22A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994094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38 051,9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994094" w:rsidRDefault="00A33A2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994094" w:rsidRDefault="00A33A2E" w:rsidP="008056AD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 7 757,9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994094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30 294,0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8056AD" w:rsidRDefault="00A33A2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56A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8056AD" w:rsidRDefault="00A33A2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56A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194423">
            <w:pPr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994094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9 118,5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994094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994094" w:rsidRDefault="00A33A2E" w:rsidP="00D1005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Calibri" w:hAnsi="PT Astra Serif" w:cs="Times New Roman"/>
                <w:b/>
                <w:lang w:eastAsia="ru-RU"/>
              </w:rPr>
              <w:t>5 918,1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994094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3 200,4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A33A2E" w:rsidRPr="000F37F7" w:rsidTr="008056AD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8056AD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270,0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FB56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0,0 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6160F5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4B0960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  <w:p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33A2E" w:rsidRPr="004B0960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4B0960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9E4ED0" w:rsidTr="001F1B59">
        <w:tblPrEx>
          <w:tblCellMar>
            <w:top w:w="0" w:type="dxa"/>
            <w:left w:w="108" w:type="dxa"/>
            <w:right w:w="108" w:type="dxa"/>
          </w:tblCellMar>
        </w:tblPrEx>
        <w:trPr>
          <w:trHeight w:val="1064"/>
        </w:trPr>
        <w:tc>
          <w:tcPr>
            <w:tcW w:w="8364" w:type="dxa"/>
            <w:gridSpan w:val="8"/>
            <w:hideMark/>
          </w:tcPr>
          <w:p w:rsidR="006160F5" w:rsidRDefault="006160F5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160F5" w:rsidRDefault="006160F5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3A2E" w:rsidRPr="009E4ED0" w:rsidRDefault="00A33A2E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  <w:gridSpan w:val="4"/>
          </w:tcPr>
          <w:p w:rsidR="00A33A2E" w:rsidRPr="009E4ED0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A33A2E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3A2E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3A2E" w:rsidRPr="009E4ED0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A33A2E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3A2E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160F5" w:rsidRDefault="006160F5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160F5" w:rsidRDefault="006160F5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3A2E" w:rsidRPr="009E4ED0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F37F7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6160F5" w:rsidRDefault="006160F5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94423" w:rsidRDefault="0019442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6160F5" w:rsidRDefault="006160F5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2A5484" w:rsidRPr="000F37F7" w:rsidTr="004C124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2A5484" w:rsidRPr="004D226E" w:rsidRDefault="002A5484" w:rsidP="001F1B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муниципальной программы муниципального образования 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2A5484" w:rsidRPr="000F37F7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район»</w:t>
            </w:r>
          </w:p>
        </w:tc>
      </w:tr>
    </w:tbl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10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об установлении уровня снижения потребления энергоресурсов</w:t>
      </w: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10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муниципальном образовании Щекинский район.</w:t>
      </w: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714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181C9B" w:rsidRPr="00D125F4" w:rsidTr="00B732A8">
        <w:trPr>
          <w:trHeight w:val="6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ind w:left="-108" w:right="-10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8" w:right="-136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8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8" w:right="-53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181C9B" w:rsidRPr="00D125F4" w:rsidTr="00B732A8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.П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ервомайский</w:t>
            </w:r>
            <w:proofErr w:type="spellEnd"/>
          </w:p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.Г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с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 </w:t>
            </w: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МАДОУ «Центр развития 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ребенка-детский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2A5484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835F73" w:rsidRPr="004D226E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835F73" w:rsidRPr="007B17ED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F37F7" w:rsidRPr="000F37F7" w:rsidRDefault="00835F73" w:rsidP="00835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D10051" w:rsidRPr="00D10051" w:rsidTr="00D10051"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D10051" w:rsidRPr="00D10051" w:rsidTr="00D10051">
        <w:trPr>
          <w:trHeight w:val="173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10051" w:rsidRPr="00D10051" w:rsidTr="00D10051">
        <w:trPr>
          <w:trHeight w:val="169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холодной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402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используемой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в муниципальных учреждениях образования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горячей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холодной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горячей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2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</w:tbl>
    <w:p w:rsid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4D226E" w:rsidRPr="000F37F7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984"/>
        <w:gridCol w:w="2268"/>
        <w:gridCol w:w="2268"/>
      </w:tblGrid>
      <w:tr w:rsidR="001F1B59" w:rsidRPr="009E4ED0" w:rsidTr="001F1B59">
        <w:trPr>
          <w:trHeight w:val="1064"/>
        </w:trPr>
        <w:tc>
          <w:tcPr>
            <w:tcW w:w="8506" w:type="dxa"/>
            <w:hideMark/>
          </w:tcPr>
          <w:p w:rsidR="001F1B59" w:rsidRPr="009E4ED0" w:rsidRDefault="001F1B5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 w:rsidP="00194423"/>
    <w:sectPr w:rsidR="00142E23" w:rsidSect="0058623D">
      <w:headerReference w:type="even" r:id="rId15"/>
      <w:headerReference w:type="default" r:id="rId16"/>
      <w:footerReference w:type="even" r:id="rId17"/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38" w:rsidRDefault="00525638" w:rsidP="000F37F7">
      <w:r>
        <w:separator/>
      </w:r>
    </w:p>
  </w:endnote>
  <w:endnote w:type="continuationSeparator" w:id="0">
    <w:p w:rsidR="00525638" w:rsidRDefault="00525638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A8" w:rsidRDefault="00B732A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A8" w:rsidRDefault="00B732A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B732A8" w:rsidRDefault="00B732A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38" w:rsidRDefault="00525638" w:rsidP="000F37F7">
      <w:r>
        <w:separator/>
      </w:r>
    </w:p>
  </w:footnote>
  <w:footnote w:type="continuationSeparator" w:id="0">
    <w:p w:rsidR="00525638" w:rsidRDefault="00525638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21473"/>
      <w:docPartObj>
        <w:docPartGallery w:val="Page Numbers (Top of Page)"/>
        <w:docPartUnique/>
      </w:docPartObj>
    </w:sdtPr>
    <w:sdtContent>
      <w:p w:rsidR="00B732A8" w:rsidRDefault="00B732A8" w:rsidP="001944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321463"/>
      <w:docPartObj>
        <w:docPartGallery w:val="Page Numbers (Top of Page)"/>
        <w:docPartUnique/>
      </w:docPartObj>
    </w:sdtPr>
    <w:sdtContent>
      <w:p w:rsidR="00B732A8" w:rsidRDefault="00B732A8">
        <w:pPr>
          <w:pStyle w:val="a3"/>
          <w:jc w:val="center"/>
        </w:pPr>
        <w:r>
          <w:t>3</w:t>
        </w:r>
      </w:p>
    </w:sdtContent>
  </w:sdt>
  <w:p w:rsidR="00B732A8" w:rsidRDefault="00B732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A8" w:rsidRDefault="00B732A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A8" w:rsidRDefault="00B732A8" w:rsidP="00D10051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732A8" w:rsidRDefault="00B732A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A8" w:rsidRDefault="00B732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2D1E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6EBB"/>
    <w:rsid w:val="000474F6"/>
    <w:rsid w:val="0006116B"/>
    <w:rsid w:val="0006426F"/>
    <w:rsid w:val="000E4B76"/>
    <w:rsid w:val="000F37F7"/>
    <w:rsid w:val="00104AC0"/>
    <w:rsid w:val="00112C04"/>
    <w:rsid w:val="0014142E"/>
    <w:rsid w:val="00141E0A"/>
    <w:rsid w:val="00142E23"/>
    <w:rsid w:val="001465F6"/>
    <w:rsid w:val="00160E0B"/>
    <w:rsid w:val="00181C9B"/>
    <w:rsid w:val="00194423"/>
    <w:rsid w:val="00197F86"/>
    <w:rsid w:val="001B6645"/>
    <w:rsid w:val="001F1B59"/>
    <w:rsid w:val="002055AB"/>
    <w:rsid w:val="00210033"/>
    <w:rsid w:val="0023025C"/>
    <w:rsid w:val="00242AE3"/>
    <w:rsid w:val="002577AF"/>
    <w:rsid w:val="002A5484"/>
    <w:rsid w:val="002A79E4"/>
    <w:rsid w:val="002B7FB1"/>
    <w:rsid w:val="002E678B"/>
    <w:rsid w:val="00342E54"/>
    <w:rsid w:val="003735F0"/>
    <w:rsid w:val="003D041C"/>
    <w:rsid w:val="003D257D"/>
    <w:rsid w:val="003E33AE"/>
    <w:rsid w:val="00400F3C"/>
    <w:rsid w:val="004011DC"/>
    <w:rsid w:val="004357B4"/>
    <w:rsid w:val="00460026"/>
    <w:rsid w:val="0046105B"/>
    <w:rsid w:val="00470842"/>
    <w:rsid w:val="00475E44"/>
    <w:rsid w:val="0048262C"/>
    <w:rsid w:val="004B0960"/>
    <w:rsid w:val="004B29E3"/>
    <w:rsid w:val="004B72D1"/>
    <w:rsid w:val="004C1246"/>
    <w:rsid w:val="004D226E"/>
    <w:rsid w:val="004D6ACA"/>
    <w:rsid w:val="004E7C6F"/>
    <w:rsid w:val="00524D8A"/>
    <w:rsid w:val="00525638"/>
    <w:rsid w:val="00547C98"/>
    <w:rsid w:val="00567FA5"/>
    <w:rsid w:val="0058623D"/>
    <w:rsid w:val="005C7A5E"/>
    <w:rsid w:val="005E22F0"/>
    <w:rsid w:val="006160F5"/>
    <w:rsid w:val="006523A2"/>
    <w:rsid w:val="006758EE"/>
    <w:rsid w:val="00695C4B"/>
    <w:rsid w:val="006A2282"/>
    <w:rsid w:val="006A3A2E"/>
    <w:rsid w:val="006F1004"/>
    <w:rsid w:val="006F29BD"/>
    <w:rsid w:val="00715507"/>
    <w:rsid w:val="0073168A"/>
    <w:rsid w:val="00733BB4"/>
    <w:rsid w:val="00746649"/>
    <w:rsid w:val="0074684F"/>
    <w:rsid w:val="007512B6"/>
    <w:rsid w:val="00755409"/>
    <w:rsid w:val="007B17ED"/>
    <w:rsid w:val="007C743D"/>
    <w:rsid w:val="007D116F"/>
    <w:rsid w:val="007D2521"/>
    <w:rsid w:val="008056AD"/>
    <w:rsid w:val="00812D1E"/>
    <w:rsid w:val="00817D39"/>
    <w:rsid w:val="00835F73"/>
    <w:rsid w:val="00880B25"/>
    <w:rsid w:val="00891E7B"/>
    <w:rsid w:val="008D6A8A"/>
    <w:rsid w:val="00914DEF"/>
    <w:rsid w:val="009222AA"/>
    <w:rsid w:val="00934826"/>
    <w:rsid w:val="00935383"/>
    <w:rsid w:val="00994094"/>
    <w:rsid w:val="00995C1E"/>
    <w:rsid w:val="009C6D46"/>
    <w:rsid w:val="00A1045A"/>
    <w:rsid w:val="00A33A2E"/>
    <w:rsid w:val="00A83CB7"/>
    <w:rsid w:val="00AC409B"/>
    <w:rsid w:val="00AD4ABF"/>
    <w:rsid w:val="00AD5E85"/>
    <w:rsid w:val="00AD5F24"/>
    <w:rsid w:val="00AD7D02"/>
    <w:rsid w:val="00B12CA4"/>
    <w:rsid w:val="00B34365"/>
    <w:rsid w:val="00B732A8"/>
    <w:rsid w:val="00B92DA4"/>
    <w:rsid w:val="00BA56CF"/>
    <w:rsid w:val="00BC3DA9"/>
    <w:rsid w:val="00BE2816"/>
    <w:rsid w:val="00BF2D59"/>
    <w:rsid w:val="00BF2E88"/>
    <w:rsid w:val="00C01311"/>
    <w:rsid w:val="00C66B64"/>
    <w:rsid w:val="00C74276"/>
    <w:rsid w:val="00C90387"/>
    <w:rsid w:val="00C96DDB"/>
    <w:rsid w:val="00CC61CB"/>
    <w:rsid w:val="00CD10AD"/>
    <w:rsid w:val="00CE7E5D"/>
    <w:rsid w:val="00CF6830"/>
    <w:rsid w:val="00D10051"/>
    <w:rsid w:val="00D35885"/>
    <w:rsid w:val="00D53CA1"/>
    <w:rsid w:val="00D86321"/>
    <w:rsid w:val="00E06139"/>
    <w:rsid w:val="00E117A0"/>
    <w:rsid w:val="00E17484"/>
    <w:rsid w:val="00E21593"/>
    <w:rsid w:val="00E340AB"/>
    <w:rsid w:val="00E645B2"/>
    <w:rsid w:val="00E865BE"/>
    <w:rsid w:val="00EB0F54"/>
    <w:rsid w:val="00ED5797"/>
    <w:rsid w:val="00F0622C"/>
    <w:rsid w:val="00F139C4"/>
    <w:rsid w:val="00F20324"/>
    <w:rsid w:val="00FB5650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  <w:style w:type="numbering" w:customStyle="1" w:styleId="33">
    <w:name w:val="Нет списка3"/>
    <w:next w:val="a2"/>
    <w:uiPriority w:val="99"/>
    <w:semiHidden/>
    <w:unhideWhenUsed/>
    <w:rsid w:val="00181C9B"/>
  </w:style>
  <w:style w:type="table" w:customStyle="1" w:styleId="25">
    <w:name w:val="Сетка таблицы2"/>
    <w:basedOn w:val="a1"/>
    <w:next w:val="a8"/>
    <w:uiPriority w:val="59"/>
    <w:rsid w:val="00181C9B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181C9B"/>
  </w:style>
  <w:style w:type="table" w:customStyle="1" w:styleId="111">
    <w:name w:val="Сетка таблицы11"/>
    <w:basedOn w:val="a1"/>
    <w:next w:val="a8"/>
    <w:rsid w:val="00181C9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181C9B"/>
  </w:style>
  <w:style w:type="numbering" w:customStyle="1" w:styleId="210">
    <w:name w:val="Нет списка21"/>
    <w:next w:val="a2"/>
    <w:uiPriority w:val="99"/>
    <w:semiHidden/>
    <w:unhideWhenUsed/>
    <w:rsid w:val="00181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  <w:style w:type="numbering" w:customStyle="1" w:styleId="33">
    <w:name w:val="Нет списка3"/>
    <w:next w:val="a2"/>
    <w:uiPriority w:val="99"/>
    <w:semiHidden/>
    <w:unhideWhenUsed/>
    <w:rsid w:val="00181C9B"/>
  </w:style>
  <w:style w:type="table" w:customStyle="1" w:styleId="25">
    <w:name w:val="Сетка таблицы2"/>
    <w:basedOn w:val="a1"/>
    <w:next w:val="a8"/>
    <w:uiPriority w:val="59"/>
    <w:rsid w:val="00181C9B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181C9B"/>
  </w:style>
  <w:style w:type="table" w:customStyle="1" w:styleId="111">
    <w:name w:val="Сетка таблицы11"/>
    <w:basedOn w:val="a1"/>
    <w:next w:val="a8"/>
    <w:rsid w:val="00181C9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181C9B"/>
  </w:style>
  <w:style w:type="numbering" w:customStyle="1" w:styleId="210">
    <w:name w:val="Нет списка21"/>
    <w:next w:val="a2"/>
    <w:uiPriority w:val="99"/>
    <w:semiHidden/>
    <w:unhideWhenUsed/>
    <w:rsid w:val="0018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44</Pages>
  <Words>10258</Words>
  <Characters>58474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2022-02-04T12:46:00Z</cp:lastPrinted>
  <dcterms:created xsi:type="dcterms:W3CDTF">2022-01-24T09:58:00Z</dcterms:created>
  <dcterms:modified xsi:type="dcterms:W3CDTF">2022-02-18T12:25:00Z</dcterms:modified>
</cp:coreProperties>
</file>