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22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на 2023 год размера арендной платы за </w:t>
      </w:r>
      <w:r w:rsidR="00BC7975">
        <w:rPr>
          <w:rFonts w:ascii="PT Astra Serif" w:eastAsia="Times New Roman" w:hAnsi="PT Astra Serif" w:cs="Times New Roman"/>
          <w:sz w:val="28"/>
          <w:szCs w:val="28"/>
        </w:rPr>
        <w:t xml:space="preserve">установку и эксплуатацию рекламных конструкций, расположенных на территории муниципального образования </w:t>
      </w:r>
      <w:proofErr w:type="spellStart"/>
      <w:r w:rsidR="00BC7975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BC7975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22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6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A20CE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22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4E0573"/>
    <w:rsid w:val="00650C19"/>
    <w:rsid w:val="00984AED"/>
    <w:rsid w:val="009E2617"/>
    <w:rsid w:val="00A20CE6"/>
    <w:rsid w:val="00AB0EF3"/>
    <w:rsid w:val="00BC7975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8</cp:revision>
  <cp:lastPrinted>2022-03-25T11:10:00Z</cp:lastPrinted>
  <dcterms:created xsi:type="dcterms:W3CDTF">2022-03-25T11:24:00Z</dcterms:created>
  <dcterms:modified xsi:type="dcterms:W3CDTF">2023-02-21T13:59:00Z</dcterms:modified>
</cp:coreProperties>
</file>