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F96022" w:rsidP="005F6D36">
      <w:pPr>
        <w:jc w:val="center"/>
      </w:pPr>
      <w:bookmarkStart w:id="0" w:name="_GoBack"/>
      <w:bookmarkEnd w:id="0"/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A53306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3146A3" w:rsidRPr="00C21EF4" w:rsidRDefault="003146A3" w:rsidP="003146A3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C21EF4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образования Щекинский район «Развитие образования и архивного дела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3146A3" w:rsidRPr="00C21EF4" w:rsidRDefault="003146A3" w:rsidP="003146A3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C21EF4" w:rsidRDefault="003146A3" w:rsidP="0068054F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В соответствии с Федеральным законом от 06.10.2003 №</w:t>
      </w:r>
      <w:r w:rsidR="0068054F">
        <w:rPr>
          <w:rFonts w:ascii="PT Astra Serif" w:hAnsi="PT Astra Serif" w:cs="PT Astra Serif"/>
          <w:sz w:val="28"/>
          <w:szCs w:val="28"/>
        </w:rPr>
        <w:t> </w:t>
      </w:r>
      <w:r w:rsidRPr="00C21EF4">
        <w:rPr>
          <w:rFonts w:ascii="PT Astra Serif" w:hAnsi="PT Astra Serif" w:cs="PT Astra Serif"/>
          <w:sz w:val="28"/>
          <w:szCs w:val="28"/>
        </w:rPr>
        <w:t xml:space="preserve">131-ФЗ </w:t>
      </w:r>
      <w:r w:rsidRPr="00C21EF4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7C34CF" w:rsidRPr="00C21EF4">
        <w:rPr>
          <w:rFonts w:ascii="PT Astra Serif" w:hAnsi="PT Astra Serif" w:cs="PT Astra Serif"/>
          <w:sz w:val="28"/>
          <w:szCs w:val="28"/>
        </w:rPr>
        <w:t>постановлением администрации муниципального образования Щекинский район</w:t>
      </w:r>
      <w:r w:rsidR="007C34CF">
        <w:rPr>
          <w:rFonts w:ascii="PT Astra Serif" w:hAnsi="PT Astra Serif" w:cs="PT Astra Serif"/>
          <w:sz w:val="28"/>
          <w:szCs w:val="28"/>
        </w:rPr>
        <w:t xml:space="preserve"> от 08.08.2022 №</w:t>
      </w:r>
      <w:r w:rsidR="0068054F">
        <w:rPr>
          <w:rFonts w:ascii="PT Astra Serif" w:hAnsi="PT Astra Serif" w:cs="PT Astra Serif"/>
          <w:sz w:val="28"/>
          <w:szCs w:val="28"/>
        </w:rPr>
        <w:t> </w:t>
      </w:r>
      <w:r w:rsidR="007C34CF">
        <w:rPr>
          <w:rFonts w:ascii="PT Astra Serif" w:hAnsi="PT Astra Serif" w:cs="PT Astra Serif"/>
          <w:sz w:val="28"/>
          <w:szCs w:val="28"/>
        </w:rPr>
        <w:t xml:space="preserve">8-1000 «О выделении средств из резервного фонда администрации </w:t>
      </w:r>
      <w:proofErr w:type="spellStart"/>
      <w:r w:rsidR="007C34CF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7C34CF">
        <w:rPr>
          <w:rFonts w:ascii="PT Astra Serif" w:hAnsi="PT Astra Serif" w:cs="PT Astra Serif"/>
          <w:sz w:val="28"/>
          <w:szCs w:val="28"/>
        </w:rPr>
        <w:t xml:space="preserve"> района в рамках исполнения бюджета муниципального образования Щекинский район»</w:t>
      </w:r>
      <w:r w:rsidRPr="00C21EF4">
        <w:rPr>
          <w:rFonts w:ascii="PT Astra Serif" w:hAnsi="PT Astra Serif" w:cs="PT Astra Serif"/>
          <w:sz w:val="28"/>
          <w:szCs w:val="28"/>
        </w:rPr>
        <w:t>, постановлением администрации муниципального образования Щекинский район от 01.12.2021 №</w:t>
      </w:r>
      <w:r w:rsidR="0068054F">
        <w:rPr>
          <w:rFonts w:ascii="PT Astra Serif" w:hAnsi="PT Astra Serif" w:cs="PT Astra Serif"/>
          <w:sz w:val="28"/>
          <w:szCs w:val="28"/>
        </w:rPr>
        <w:t> </w:t>
      </w:r>
      <w:r w:rsidRPr="00C21EF4">
        <w:rPr>
          <w:rFonts w:ascii="PT Astra Serif" w:hAnsi="PT Astra Serif" w:cs="PT Astra Serif"/>
          <w:sz w:val="28"/>
          <w:szCs w:val="28"/>
        </w:rPr>
        <w:t>12-1550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146A3" w:rsidRPr="00C21EF4" w:rsidRDefault="003146A3" w:rsidP="0068054F">
      <w:pPr>
        <w:spacing w:line="360" w:lineRule="exact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C21EF4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C21EF4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изменение, изложив приложение в новой редакции (приложение).</w:t>
      </w:r>
    </w:p>
    <w:p w:rsidR="003146A3" w:rsidRPr="00C21EF4" w:rsidRDefault="003146A3" w:rsidP="0068054F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C21EF4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C21EF4">
        <w:rPr>
          <w:rFonts w:ascii="PT Astra Serif" w:hAnsi="PT Astra Serif" w:cs="PT Astra Serif"/>
          <w:sz w:val="28"/>
          <w:szCs w:val="28"/>
        </w:rPr>
        <w:t xml:space="preserve"> район и </w:t>
      </w:r>
      <w:r w:rsidR="0068054F">
        <w:rPr>
          <w:rFonts w:ascii="PT Astra Serif" w:hAnsi="PT Astra Serif" w:cs="PT Astra Serif"/>
          <w:sz w:val="28"/>
          <w:szCs w:val="28"/>
        </w:rPr>
        <w:t xml:space="preserve">       </w:t>
      </w:r>
      <w:r w:rsidR="0068054F">
        <w:rPr>
          <w:rFonts w:ascii="PT Astra Serif" w:hAnsi="PT Astra Serif" w:cs="PT Astra Serif"/>
          <w:sz w:val="28"/>
          <w:szCs w:val="28"/>
        </w:rPr>
        <w:lastRenderedPageBreak/>
        <w:t xml:space="preserve">на </w:t>
      </w:r>
      <w:r w:rsidRPr="00C21EF4">
        <w:rPr>
          <w:rFonts w:ascii="PT Astra Serif" w:hAnsi="PT Astra Serif" w:cs="PT Astra Serif"/>
          <w:sz w:val="28"/>
          <w:szCs w:val="28"/>
        </w:rPr>
        <w:t xml:space="preserve">информационном стенде администрации </w:t>
      </w:r>
      <w:proofErr w:type="spellStart"/>
      <w:r w:rsidRPr="00C21EF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C21EF4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56219F" w:rsidRDefault="003146A3" w:rsidP="0068054F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1EF4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  <w:r w:rsidR="0056219F" w:rsidRPr="0056219F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56219F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68054F" w:rsidRDefault="0068054F">
      <w:pPr>
        <w:rPr>
          <w:rFonts w:ascii="PT Astra Serif" w:hAnsi="PT Astra Serif" w:cs="PT Astra Serif"/>
          <w:sz w:val="28"/>
          <w:szCs w:val="28"/>
        </w:rPr>
        <w:sectPr w:rsidR="0068054F" w:rsidSect="0068054F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054F" w:rsidRPr="00632A81" w:rsidTr="0067001D">
        <w:trPr>
          <w:trHeight w:val="1846"/>
        </w:trPr>
        <w:tc>
          <w:tcPr>
            <w:tcW w:w="4482" w:type="dxa"/>
          </w:tcPr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8054F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8054F" w:rsidRPr="005F7C09" w:rsidRDefault="0068054F" w:rsidP="0067001D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  <w:tr w:rsidR="0068054F" w:rsidRPr="00632A81" w:rsidTr="0067001D">
        <w:trPr>
          <w:trHeight w:val="303"/>
        </w:trPr>
        <w:tc>
          <w:tcPr>
            <w:tcW w:w="4482" w:type="dxa"/>
          </w:tcPr>
          <w:p w:rsidR="0068054F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8054F" w:rsidRPr="00632A81" w:rsidTr="0067001D">
        <w:trPr>
          <w:trHeight w:val="1846"/>
        </w:trPr>
        <w:tc>
          <w:tcPr>
            <w:tcW w:w="4482" w:type="dxa"/>
          </w:tcPr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68054F" w:rsidRPr="00632A81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8054F" w:rsidRDefault="0068054F" w:rsidP="0067001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8054F" w:rsidRPr="005F7C09" w:rsidRDefault="0068054F" w:rsidP="0067001D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8054F" w:rsidRPr="00632A81" w:rsidRDefault="0068054F" w:rsidP="0068054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68054F">
              <w:rPr>
                <w:rFonts w:ascii="PT Astra Serif" w:hAnsi="PT Astra Serif"/>
                <w:sz w:val="28"/>
                <w:szCs w:val="28"/>
              </w:rPr>
              <w:t>24.12.2021 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054F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054F">
              <w:rPr>
                <w:rFonts w:ascii="PT Astra Serif" w:hAnsi="PT Astra Serif"/>
                <w:sz w:val="28"/>
                <w:szCs w:val="28"/>
              </w:rPr>
              <w:t>1699</w:t>
            </w:r>
          </w:p>
        </w:tc>
      </w:tr>
    </w:tbl>
    <w:p w:rsidR="0068054F" w:rsidRPr="0085383A" w:rsidRDefault="0068054F" w:rsidP="0068054F">
      <w:pPr>
        <w:jc w:val="right"/>
        <w:rPr>
          <w:rFonts w:ascii="PT Astra Serif" w:hAnsi="PT Astra Serif"/>
          <w:sz w:val="16"/>
          <w:szCs w:val="16"/>
        </w:rPr>
      </w:pPr>
    </w:p>
    <w:p w:rsidR="0068054F" w:rsidRDefault="0068054F" w:rsidP="0068054F">
      <w:pPr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68054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68054F" w:rsidRPr="0068054F" w:rsidRDefault="0068054F" w:rsidP="0068054F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 xml:space="preserve">МУНИЦИПАЛЬНАЯ ПРОГРАММА </w:t>
      </w:r>
    </w:p>
    <w:p w:rsidR="0068054F" w:rsidRPr="0068054F" w:rsidRDefault="0068054F" w:rsidP="0068054F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 xml:space="preserve"> район </w:t>
      </w:r>
    </w:p>
    <w:p w:rsidR="0068054F" w:rsidRDefault="0068054F" w:rsidP="0068054F">
      <w:pPr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 xml:space="preserve">«Развитие образования и архивного дела </w:t>
      </w:r>
    </w:p>
    <w:p w:rsidR="0056219F" w:rsidRDefault="0068054F" w:rsidP="0068054F">
      <w:pPr>
        <w:jc w:val="center"/>
        <w:rPr>
          <w:rFonts w:ascii="PT Astra Serif" w:hAnsi="PT Astra Serif" w:cs="PT Astra Serif"/>
          <w:sz w:val="28"/>
          <w:szCs w:val="28"/>
        </w:rPr>
      </w:pPr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color w:val="000000"/>
          <w:sz w:val="28"/>
          <w:szCs w:val="28"/>
        </w:rPr>
        <w:t xml:space="preserve"> район»</w:t>
      </w: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68054F" w:rsidRDefault="0068054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 А С П О Р Т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C21EF4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numPr>
          <w:ilvl w:val="0"/>
          <w:numId w:val="3"/>
        </w:num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vertAlign w:val="superscript"/>
              </w:rPr>
            </w:pPr>
            <w:r w:rsidRPr="00C21EF4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7</w:t>
            </w:r>
            <w:r w:rsidR="005331B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16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</w:t>
            </w:r>
            <w:r w:rsidR="005331B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814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,</w:t>
            </w:r>
            <w:r w:rsidR="005331B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9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5331BC">
              <w:rPr>
                <w:rFonts w:ascii="PT Astra Serif" w:hAnsi="PT Astra Serif" w:cs="PT Astra Serif"/>
                <w:sz w:val="24"/>
                <w:szCs w:val="24"/>
              </w:rPr>
              <w:t> 672 030,3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1 708 720,2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1 712 704,8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437 226,6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2030 год – 437 226,6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Из них: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b/>
                <w:sz w:val="22"/>
                <w:szCs w:val="22"/>
              </w:rPr>
              <w:t>249 558,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  <w:t>4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2022 год – 86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 099,0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2023 год – 84 660,3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2024 год – 78 799,1 тыс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средства бюджета Тульской области: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3 528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762,7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1 137 955,3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1 194 128,3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1 196 679,1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0</w:t>
            </w:r>
            <w:r w:rsidR="00F9458C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</w:t>
            </w:r>
            <w:r w:rsidR="0060354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</w:t>
            </w:r>
            <w:r w:rsidR="0060354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117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,</w:t>
            </w:r>
            <w:r w:rsidR="0060354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9458C">
              <w:rPr>
                <w:rFonts w:ascii="PT Astra Serif" w:hAnsi="PT Astra Serif" w:cs="PT Astra Serif"/>
                <w:sz w:val="24"/>
                <w:szCs w:val="24"/>
              </w:rPr>
              <w:t xml:space="preserve">352 </w:t>
            </w:r>
            <w:r w:rsidR="00603545">
              <w:rPr>
                <w:rFonts w:ascii="PT Astra Serif" w:hAnsi="PT Astra Serif" w:cs="PT Astra Serif"/>
                <w:sz w:val="24"/>
                <w:szCs w:val="24"/>
              </w:rPr>
              <w:t>82</w:t>
            </w:r>
            <w:r w:rsidR="00F9458C">
              <w:rPr>
                <w:rFonts w:ascii="PT Astra Serif" w:hAnsi="PT Astra Serif" w:cs="PT Astra Serif"/>
                <w:sz w:val="24"/>
                <w:szCs w:val="24"/>
              </w:rPr>
              <w:t>3,1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334 778,7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342 073,7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856 </w:t>
            </w:r>
            <w:r w:rsidR="00BE39F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37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6,10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95</w:t>
            </w:r>
            <w:r w:rsidR="00BE39F0">
              <w:rPr>
                <w:rFonts w:ascii="PT Astra Serif" w:hAnsi="PT Astra Serif" w:cs="PT Astra Serif"/>
                <w:sz w:val="24"/>
                <w:szCs w:val="24"/>
              </w:rPr>
              <w:t>15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95152,9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- 95152,9 тыс. руб.</w:t>
            </w:r>
          </w:p>
        </w:tc>
      </w:tr>
    </w:tbl>
    <w:p w:rsidR="00C4142C" w:rsidRPr="00C21EF4" w:rsidRDefault="00C4142C" w:rsidP="00C4142C">
      <w:pPr>
        <w:rPr>
          <w:rFonts w:ascii="PT Astra Serif" w:hAnsi="PT Astra Serif" w:cs="PT Astra Serif"/>
        </w:rPr>
      </w:pPr>
    </w:p>
    <w:p w:rsidR="00C4142C" w:rsidRPr="00C21EF4" w:rsidRDefault="00C4142C" w:rsidP="00C4142C">
      <w:pPr>
        <w:rPr>
          <w:rFonts w:ascii="PT Astra Serif" w:hAnsi="PT Astra Serif" w:cs="PT Astra Serif"/>
        </w:rPr>
        <w:sectPr w:rsidR="00C4142C" w:rsidRPr="00C21EF4" w:rsidSect="0068054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C21EF4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1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6"/>
        <w:gridCol w:w="1869"/>
        <w:gridCol w:w="2097"/>
        <w:gridCol w:w="925"/>
        <w:gridCol w:w="711"/>
        <w:gridCol w:w="711"/>
        <w:gridCol w:w="554"/>
        <w:gridCol w:w="560"/>
        <w:gridCol w:w="642"/>
        <w:gridCol w:w="578"/>
        <w:gridCol w:w="575"/>
        <w:gridCol w:w="678"/>
        <w:gridCol w:w="708"/>
        <w:gridCol w:w="702"/>
        <w:gridCol w:w="711"/>
        <w:gridCol w:w="1410"/>
        <w:gridCol w:w="1057"/>
      </w:tblGrid>
      <w:tr w:rsidR="00C4142C" w:rsidRPr="00C21EF4" w:rsidTr="00E84835">
        <w:trPr>
          <w:trHeight w:val="65"/>
          <w:tblHeader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:rsidR="00C4142C" w:rsidRPr="00C21EF4" w:rsidRDefault="00C4142C" w:rsidP="00E84835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C21EF4" w:rsidTr="00E84835">
        <w:trPr>
          <w:trHeight w:val="65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44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C21EF4" w:rsidTr="00E84835">
        <w:trPr>
          <w:trHeight w:val="65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Внедрение целевой модели цифровой образовательной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Образовательные организации  обеспечены материально-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автономными учреждениями по объемам оказания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</w:t>
            </w:r>
            <w:r w:rsidRPr="00C21EF4">
              <w:rPr>
                <w:rFonts w:ascii="PT Astra Serif" w:hAnsi="PT Astra Serif" w:cs="PT Astra Serif"/>
              </w:rPr>
              <w:lastRenderedPageBreak/>
              <w:t>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</w:t>
            </w:r>
            <w:r w:rsidRPr="00C21EF4">
              <w:rPr>
                <w:rFonts w:ascii="PT Astra Serif" w:hAnsi="PT Astra Serif" w:cs="PT Astra Serif"/>
              </w:rPr>
              <w:lastRenderedPageBreak/>
              <w:t>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Реализация в необходимом объеме образовательных программ общего образования, повышение качества </w:t>
            </w:r>
            <w:r w:rsidRPr="00C21EF4">
              <w:rPr>
                <w:rFonts w:ascii="PT Astra Serif" w:hAnsi="PT Astra Serif" w:cs="PT Astra Serif"/>
              </w:rPr>
              <w:lastRenderedPageBreak/>
              <w:t>общего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Выполнение муниципального задания муниципальными бюджетными и автономными учреждениями по </w:t>
            </w:r>
            <w:r w:rsidRPr="00C21EF4">
              <w:rPr>
                <w:rFonts w:ascii="PT Astra Serif" w:hAnsi="PT Astra Serif" w:cs="PT Astra Serif"/>
              </w:rPr>
              <w:lastRenderedPageBreak/>
              <w:t>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педагогических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организаций,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вознаграждение за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 такой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50 Мб/c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а также гарантированным Интернет-трафиком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Количество зданий, в которых  выполнены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мероприятия по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благоустройству зданий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организациях, получающих </w:t>
            </w:r>
            <w:r w:rsidRPr="00C21EF4">
              <w:rPr>
                <w:rFonts w:ascii="PT Astra Serif" w:hAnsi="PT Astra Serif" w:cs="PT Astra Serif"/>
              </w:rPr>
              <w:lastRenderedPageBreak/>
              <w:t>бесплатное горячее питание, к общему количеству обучающихся,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образовательных организациях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3.2.3.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детей, в возрасте от 5 до 18 лет, </w:t>
            </w:r>
            <w:r w:rsidRPr="00C21EF4">
              <w:rPr>
                <w:rFonts w:ascii="PT Astra Serif" w:hAnsi="PT Astra Serif" w:cs="PT Astra Serif"/>
              </w:rPr>
              <w:lastRenderedPageBreak/>
              <w:t>охваченных дополнительным образованием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</w:t>
            </w:r>
            <w:r w:rsidRPr="00C21EF4">
              <w:rPr>
                <w:rFonts w:ascii="PT Astra Serif" w:hAnsi="PT Astra Serif" w:cs="PT Astra Serif"/>
              </w:rPr>
              <w:lastRenderedPageBreak/>
              <w:t>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09" w:type="pct"/>
            <w:gridSpan w:val="1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4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Реализация прав </w:t>
            </w:r>
            <w:r w:rsidRPr="00C21EF4">
              <w:rPr>
                <w:rFonts w:ascii="PT Astra Serif" w:hAnsi="PT Astra Serif" w:cs="PT Astra Serif"/>
              </w:rPr>
              <w:lastRenderedPageBreak/>
              <w:t>граждан на получение и использование архивной информации.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4.1.4.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4.1.5.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4.1.6.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Щекинский район и сайта «Единый электронный каталог архивов Тульской области».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3. Структура муниципальной программы</w:t>
      </w:r>
    </w:p>
    <w:p w:rsidR="00C4142C" w:rsidRPr="00C21EF4" w:rsidRDefault="00C4142C" w:rsidP="00C4142C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3"/>
        <w:gridCol w:w="2439"/>
        <w:gridCol w:w="561"/>
        <w:gridCol w:w="1935"/>
        <w:gridCol w:w="6350"/>
      </w:tblGrid>
      <w:tr w:rsidR="00C4142C" w:rsidRPr="00C21EF4" w:rsidTr="00E84835">
        <w:trPr>
          <w:trHeight w:val="562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C21EF4" w:rsidTr="00E84835">
        <w:trPr>
          <w:trHeight w:val="170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C21EF4" w:rsidTr="00E84835">
        <w:trPr>
          <w:trHeight w:val="448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C21EF4" w:rsidTr="00E84835">
        <w:trPr>
          <w:trHeight w:val="108"/>
        </w:trPr>
        <w:tc>
          <w:tcPr>
            <w:tcW w:w="2037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96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C21EF4" w:rsidTr="00E84835">
        <w:trPr>
          <w:trHeight w:val="302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C21EF4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C21EF4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1"/>
                <w:numId w:val="3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образовательных программ дошкольного образования, повышение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</w:t>
            </w:r>
            <w:r w:rsidRPr="00C21EF4">
              <w:rPr>
                <w:rFonts w:ascii="PT Astra Serif" w:hAnsi="PT Astra Serif" w:cs="PT Astra Serif"/>
              </w:rPr>
              <w:lastRenderedPageBreak/>
              <w:t>в возрасте 3-7 лет)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E84835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3.2. Комплекс процессных мероприятий «Развитие общего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общеобразовательных организаций до 0,1%.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3. Увеличение доли обучающихся в общеобразовательных организациях, занимающихся в одну смену, в общей численности обучающихся в общеобразовательных организациях до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а также гарантированным интернет-трафиком.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а также гарантированным Интернет-трафиком.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3.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Повышение уровня удовлетворенности  граждан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муниципального образования Щекинский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Уровень удовлетворенности граждан муниципального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Комплекс процессных мероприятий «Развитие дополнительного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6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pStyle w:val="af6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C4142C" w:rsidRPr="00C21EF4" w:rsidRDefault="00C4142C" w:rsidP="00E84835">
            <w:pPr>
              <w:pStyle w:val="af6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6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6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Обеспечение информационной открытости деятельности комитета по образованию по реализации </w:t>
            </w:r>
            <w:r w:rsidRPr="00C21EF4">
              <w:rPr>
                <w:rFonts w:ascii="PT Astra Serif" w:hAnsi="PT Astra Serif" w:cs="PT Astra Serif"/>
              </w:rPr>
              <w:lastRenderedPageBreak/>
              <w:t>Программы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6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C4142C" w:rsidRPr="00C21EF4" w:rsidTr="00E84835">
        <w:trPr>
          <w:trHeight w:val="108"/>
        </w:trPr>
        <w:tc>
          <w:tcPr>
            <w:tcW w:w="2037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302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 xml:space="preserve">Массовая оцифровка документов </w:t>
            </w:r>
            <w:r w:rsidRPr="00C21EF4">
              <w:rPr>
                <w:rFonts w:ascii="PT Astra Serif" w:hAnsi="PT Astra Serif" w:cs="PT Astra Serif"/>
                <w:lang w:eastAsia="ar-SA"/>
              </w:rPr>
              <w:lastRenderedPageBreak/>
              <w:t>периода сороковых-пятидесятых годов 20 века для создания регионального электронного фонда пользования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работы по оцифровке дел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4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1166"/>
        <w:gridCol w:w="1167"/>
        <w:gridCol w:w="1167"/>
        <w:gridCol w:w="1119"/>
        <w:gridCol w:w="1116"/>
        <w:gridCol w:w="1255"/>
        <w:gridCol w:w="1261"/>
        <w:gridCol w:w="1113"/>
        <w:gridCol w:w="1167"/>
        <w:gridCol w:w="1394"/>
      </w:tblGrid>
      <w:tr w:rsidR="00C4142C" w:rsidRPr="00C21EF4" w:rsidTr="00E84835">
        <w:trPr>
          <w:tblHeader/>
        </w:trPr>
        <w:tc>
          <w:tcPr>
            <w:tcW w:w="1056" w:type="pct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C21EF4">
              <w:rPr>
                <w:rStyle w:val="aff5"/>
                <w:rFonts w:ascii="PT Astra Serif" w:hAnsi="PT Astra Serif" w:cs="PT Astra Serif"/>
                <w:sz w:val="20"/>
                <w:szCs w:val="20"/>
              </w:rPr>
              <w:footnoteReference w:id="1"/>
            </w:r>
          </w:p>
        </w:tc>
        <w:tc>
          <w:tcPr>
            <w:tcW w:w="3944" w:type="pct"/>
            <w:gridSpan w:val="10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4142C" w:rsidRPr="00C21EF4" w:rsidTr="00E84835">
        <w:trPr>
          <w:trHeight w:val="448"/>
          <w:tblHeader/>
        </w:trPr>
        <w:tc>
          <w:tcPr>
            <w:tcW w:w="1056" w:type="pct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C4142C" w:rsidRPr="00C21EF4" w:rsidTr="00E84835">
        <w:trPr>
          <w:trHeight w:val="282"/>
          <w:tblHeader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C4142C" w:rsidRPr="00C21EF4" w:rsidTr="00E84835">
        <w:trPr>
          <w:trHeight w:val="70"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90669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1 6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72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030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1 708 720,2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1 712 704,8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90669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7 7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16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814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70"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86 099,0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84 660,3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78 799,1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249 558,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1 137 955,3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1 194 128,3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1 196 679,1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3 528 762,7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53061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52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53061A">
              <w:rPr>
                <w:rFonts w:ascii="PT Astra Serif" w:hAnsi="PT Astra Serif" w:cs="PT Astra Serif"/>
                <w:sz w:val="20"/>
                <w:szCs w:val="20"/>
              </w:rPr>
              <w:t>82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334 778,7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53061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8</w:t>
            </w:r>
            <w:r w:rsidR="0053061A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53061A">
              <w:rPr>
                <w:rFonts w:ascii="PT Astra Serif" w:hAnsi="PT Astra Serif" w:cs="PT Astra Serif"/>
                <w:sz w:val="20"/>
                <w:szCs w:val="20"/>
              </w:rPr>
              <w:t>11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06698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C50DB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</w:t>
            </w:r>
            <w:r w:rsidR="00C50DBD">
              <w:rPr>
                <w:rFonts w:ascii="PT Astra Serif" w:hAnsi="PT Astra Serif" w:cs="PT Astra Serif"/>
                <w:sz w:val="20"/>
                <w:szCs w:val="20"/>
              </w:rPr>
              <w:t>15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784E8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856 </w:t>
            </w:r>
            <w:r w:rsidR="00784E8A">
              <w:rPr>
                <w:rFonts w:ascii="PT Astra Serif" w:hAnsi="PT Astra Serif" w:cs="PT Astra Serif"/>
                <w:sz w:val="20"/>
                <w:szCs w:val="20"/>
              </w:rPr>
              <w:t>37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6,1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1 584,3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3 030,3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4 614,6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1 505,8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2 880,0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4 385,8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46,1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12 646,9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3 224,9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32 391,3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12 019,6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3 065,0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30 784,7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500,8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127,7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1 282,7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165,2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126,5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32,2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323,9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9E6AE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</w:t>
            </w:r>
            <w:r w:rsidR="009E6AE1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9E6AE1">
              <w:rPr>
                <w:rFonts w:ascii="PT Astra Serif" w:hAnsi="PT Astra Serif" w:cs="PT Astra Serif"/>
                <w:sz w:val="20"/>
                <w:szCs w:val="20"/>
              </w:rPr>
              <w:t>599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E6AE1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512 123,9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491 904,8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9E6AE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2 16</w:t>
            </w:r>
            <w:r w:rsidR="009E6AE1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9E6AE1">
              <w:rPr>
                <w:rFonts w:ascii="PT Astra Serif" w:hAnsi="PT Astra Serif" w:cs="PT Astra Serif"/>
                <w:sz w:val="20"/>
                <w:szCs w:val="20"/>
              </w:rPr>
              <w:t>866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E6AE1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392 428,6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400 060,6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382 531,8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1 175 021,0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5E7CC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  <w:r w:rsidR="005E7CCC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5E7CCC">
              <w:rPr>
                <w:rFonts w:ascii="PT Astra Serif" w:hAnsi="PT Astra Serif" w:cs="PT Astra Serif"/>
                <w:sz w:val="20"/>
                <w:szCs w:val="20"/>
              </w:rPr>
              <w:t>170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5E7CCC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112 063,3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5E7CC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5E7CCC">
              <w:rPr>
                <w:rFonts w:ascii="PT Astra Serif" w:hAnsi="PT Astra Serif" w:cs="PT Astra Serif"/>
                <w:sz w:val="20"/>
                <w:szCs w:val="20"/>
              </w:rPr>
              <w:t>91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5E7CCC">
              <w:rPr>
                <w:rFonts w:ascii="PT Astra Serif" w:hAnsi="PT Astra Serif" w:cs="PT Astra Serif"/>
                <w:sz w:val="20"/>
                <w:szCs w:val="20"/>
              </w:rPr>
              <w:t>845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5E7CCC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0234A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93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938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945 631,3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971 500,3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3 57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206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70 398,9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71 135,0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72 854,1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214 388,0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735 340,4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759 132,5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778 290,1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2 272 763,0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CA514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31 </w:t>
            </w:r>
            <w:r w:rsidR="00CA5148">
              <w:rPr>
                <w:rFonts w:ascii="PT Astra Serif" w:hAnsi="PT Astra Serif" w:cs="PT Astra Serif"/>
                <w:sz w:val="20"/>
                <w:szCs w:val="20"/>
              </w:rPr>
              <w:t>19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115 363,8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CA514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1 08</w:t>
            </w:r>
            <w:r w:rsidR="00CA5148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CA5148">
              <w:rPr>
                <w:rFonts w:ascii="PT Astra Serif" w:hAnsi="PT Astra Serif" w:cs="PT Astra Serif"/>
                <w:sz w:val="20"/>
                <w:szCs w:val="20"/>
              </w:rPr>
              <w:t>05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5,</w:t>
            </w:r>
            <w:r w:rsidR="000234A5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93 648,0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120 880,6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126 913,5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889 387,3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9 512,0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34 351,5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35 589,3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79 452,8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84 136,0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86 529,1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809 934,5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71624A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20 255,4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17 786,1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17 999,4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71624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</w:t>
            </w:r>
            <w:r w:rsidR="0071624A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71624A">
              <w:rPr>
                <w:rFonts w:ascii="PT Astra Serif" w:hAnsi="PT Astra Serif" w:cs="PT Astra Serif"/>
                <w:sz w:val="20"/>
                <w:szCs w:val="20"/>
              </w:rPr>
              <w:t>916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71624A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60,3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71624A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20 235,3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17 766,0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71624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</w:t>
            </w:r>
            <w:r w:rsidR="0071624A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71624A">
              <w:rPr>
                <w:rFonts w:ascii="PT Astra Serif" w:hAnsi="PT Astra Serif" w:cs="PT Astra Serif"/>
                <w:sz w:val="20"/>
                <w:szCs w:val="20"/>
              </w:rPr>
              <w:t>856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71624A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«Реализация мероприятий в рамках целевого обучения по образовательным программам высшего образования»</w:t>
            </w: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975E6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90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975E6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020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975E6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90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975E6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975E6C">
              <w:rPr>
                <w:rFonts w:ascii="PT Astra Serif" w:hAnsi="PT Astra Serif" w:cs="PT Astra Serif"/>
                <w:sz w:val="20"/>
                <w:szCs w:val="20"/>
              </w:rPr>
              <w:t>020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68054F" w:rsidP="0068054F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______________________________________________________________________</w:t>
      </w: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C21EF4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681"/>
      </w:tblGrid>
      <w:tr w:rsidR="00C4142C" w:rsidRPr="00C21EF4" w:rsidTr="0068054F"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1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68054F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и архивного дела в муниципальном образовании Щекинский район»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C21EF4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   </w:t>
      </w:r>
      <w:r w:rsidRPr="0068054F">
        <w:rPr>
          <w:rFonts w:ascii="PT Astra Serif" w:hAnsi="PT Astra Serif" w:cs="PT Astra Serif"/>
          <w:b/>
          <w:bCs/>
          <w:sz w:val="28"/>
          <w:szCs w:val="28"/>
        </w:rPr>
        <w:t xml:space="preserve">Перечень муниципальных проектов муниципальной программы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8054F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 в муниципальном образовании Щекинский район»</w:t>
      </w:r>
    </w:p>
    <w:p w:rsidR="0068054F" w:rsidRPr="0068054F" w:rsidRDefault="0068054F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309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C21EF4" w:rsidTr="00E84835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C21EF4" w:rsidTr="00E84835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C21EF4" w:rsidTr="00E84835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1584,3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3030,3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2880,0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4614,6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4385,8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12646,9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12019,6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3224,9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3065,0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32391,3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30784,7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pStyle w:val="afb"/>
        <w:rPr>
          <w:rFonts w:ascii="PT Astra Serif" w:hAnsi="PT Astra Serif" w:cs="PT Astra Serif"/>
          <w:sz w:val="16"/>
          <w:szCs w:val="16"/>
        </w:rPr>
      </w:pPr>
    </w:p>
    <w:p w:rsidR="00C4142C" w:rsidRPr="00C21EF4" w:rsidRDefault="00C4142C" w:rsidP="00C4142C">
      <w:pPr>
        <w:pStyle w:val="afb"/>
        <w:rPr>
          <w:rFonts w:ascii="PT Astra Serif" w:hAnsi="PT Astra Serif" w:cs="PT Astra Serif"/>
          <w:sz w:val="16"/>
          <w:szCs w:val="16"/>
        </w:rPr>
      </w:pPr>
    </w:p>
    <w:p w:rsidR="00C4142C" w:rsidRPr="00C21EF4" w:rsidRDefault="00C4142C" w:rsidP="00C4142C">
      <w:pPr>
        <w:pStyle w:val="afb"/>
        <w:rPr>
          <w:rFonts w:ascii="PT Astra Serif" w:hAnsi="PT Astra Serif" w:cs="PT Astra Serif"/>
          <w:sz w:val="18"/>
          <w:szCs w:val="18"/>
        </w:rPr>
      </w:pPr>
    </w:p>
    <w:p w:rsidR="00C4142C" w:rsidRPr="00C21EF4" w:rsidRDefault="00C4142C" w:rsidP="00C4142C">
      <w:pPr>
        <w:pStyle w:val="afb"/>
        <w:rPr>
          <w:rFonts w:ascii="PT Astra Serif" w:hAnsi="PT Astra Serif" w:cs="PT Astra Serif"/>
          <w:sz w:val="18"/>
          <w:szCs w:val="18"/>
        </w:rPr>
        <w:sectPr w:rsidR="00C4142C" w:rsidRPr="00C21EF4" w:rsidSect="00971243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2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</w:rPr>
        <w:br w:type="textWrapping" w:clear="all"/>
      </w:r>
    </w:p>
    <w:p w:rsid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дошкольного образования» муниципальной программы «Развитие образования и архивного дела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дошкольных образовательных </w:t>
            </w:r>
            <w:r w:rsidRPr="00C21EF4">
              <w:rPr>
                <w:rFonts w:ascii="PT Astra Serif" w:hAnsi="PT Astra Serif" w:cs="PT Astra Serif"/>
              </w:rPr>
              <w:lastRenderedPageBreak/>
              <w:t>организаций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6.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2 16</w:t>
            </w:r>
            <w:r w:rsidR="00554C6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="00554C6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866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,</w:t>
            </w:r>
            <w:r w:rsidR="00554C6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50</w:t>
            </w:r>
            <w:r w:rsidR="00554C64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 </w:t>
            </w:r>
            <w:r w:rsidR="00554C64">
              <w:rPr>
                <w:rFonts w:ascii="PT Astra Serif" w:hAnsi="PT Astra Serif" w:cs="PT Astra Serif"/>
                <w:sz w:val="24"/>
                <w:szCs w:val="24"/>
              </w:rPr>
              <w:t>599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554C64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512 123,9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491 904,8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</w:t>
            </w:r>
            <w:r w:rsidR="00FF46D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- 109 373,0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109 373,0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109 373,0 тыс. руб.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093EE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C21EF4" w:rsidRDefault="00C4142C" w:rsidP="00C4142C">
      <w:pPr>
        <w:ind w:left="9072"/>
        <w:jc w:val="center"/>
        <w:rPr>
          <w:rFonts w:ascii="PT Astra Serif" w:hAnsi="PT Astra Serif" w:cs="PT Astra Serif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457 196,2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97 344,5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441 758,9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94 148,3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452 236,3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10 516,9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10 516,9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2 299,3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2 299,3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46381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2 352,2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46381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2 352,2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30 068,5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5 931,5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 по подготовке изыскательской и проектной документации по объекту «Строительство детского сада в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46381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11 158,8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46381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11 158,8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 оценки качества условий предоставления муниципальных услуг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093EEA">
          <w:headerReference w:type="default" r:id="rId12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общего образования» муниципальной программы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Увеличение доли обучающихся в общеобразовательных организациях, занимающихся в одну смену, в общей численности обучающихся в общеобразовательных организациях до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5. Обеспечение </w:t>
            </w:r>
            <w:proofErr w:type="spellStart"/>
            <w:r w:rsidRPr="00C21EF4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а также гарантированным интернет-трафиком.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8.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9.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3 57</w:t>
            </w:r>
            <w:r w:rsidR="00D456E8">
              <w:rPr>
                <w:rFonts w:ascii="PT Astra Serif" w:hAnsi="PT Astra Serif" w:cs="PT Astra Serif"/>
                <w:b/>
                <w:bCs/>
              </w:rPr>
              <w:t>6</w:t>
            </w:r>
            <w:r w:rsidRPr="00C21EF4">
              <w:rPr>
                <w:rFonts w:ascii="PT Astra Serif" w:hAnsi="PT Astra Serif" w:cs="PT Astra Serif"/>
                <w:b/>
                <w:bCs/>
              </w:rPr>
              <w:t> </w:t>
            </w:r>
            <w:r w:rsidR="00D456E8">
              <w:rPr>
                <w:rFonts w:ascii="PT Astra Serif" w:hAnsi="PT Astra Serif" w:cs="PT Astra Serif"/>
                <w:b/>
                <w:bCs/>
              </w:rPr>
              <w:t>206</w:t>
            </w:r>
            <w:r w:rsidRPr="00C21EF4">
              <w:rPr>
                <w:rFonts w:ascii="PT Astra Serif" w:hAnsi="PT Astra Serif" w:cs="PT Astra Serif"/>
                <w:b/>
                <w:bCs/>
              </w:rPr>
              <w:t>,</w:t>
            </w:r>
            <w:r w:rsidR="00D456E8">
              <w:rPr>
                <w:rFonts w:ascii="PT Astra Serif" w:hAnsi="PT Astra Serif" w:cs="PT Astra Serif"/>
                <w:b/>
                <w:bCs/>
              </w:rPr>
              <w:t>8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93</w:t>
            </w:r>
            <w:r w:rsidR="00D456E8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 </w:t>
            </w:r>
            <w:r w:rsidR="00D456E8">
              <w:rPr>
                <w:rFonts w:ascii="PT Astra Serif" w:hAnsi="PT Astra Serif" w:cs="PT Astra Serif"/>
                <w:sz w:val="24"/>
                <w:szCs w:val="24"/>
              </w:rPr>
              <w:t>938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456E8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945 631,3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971 500,</w:t>
            </w:r>
            <w:r w:rsidR="003F2FD4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120 356,1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120 356,1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общего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776 387,5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85 140,6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799 006,4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83 544,2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820 376,5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10 378,7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10 378,7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733,7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733,7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2 616,8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2 616,8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AE3448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3 435,0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AE3448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3 435,0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1 718,2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1 281,8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45 381,6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33 128,6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11 345,4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46 390,0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33 864,7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11 597,5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927,8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47 791,5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34 887,8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11 947,9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319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3 481,4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C4142C" w:rsidRPr="00C21EF4" w:rsidRDefault="007B00FB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</w:t>
            </w:r>
            <w:r w:rsidR="00C4142C"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3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70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64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83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44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77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13 055,1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13 055,1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 оценки качества условий предоставления муниципальных услуг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736049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4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дополнительного образования» муниципальной программы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5.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889 387,3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93 648,0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120 880,6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126 913,5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91 324,2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91 324,2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68054F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«Развитие дополнительного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C21EF4" w:rsidTr="00C07DC4">
        <w:trPr>
          <w:trHeight w:val="3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C21EF4" w:rsidTr="00C07DC4">
        <w:trPr>
          <w:trHeight w:val="27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C07DC4">
        <w:trPr>
          <w:trHeight w:val="59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3335A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  <w:r w:rsidR="003335AA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3335AA">
              <w:rPr>
                <w:rFonts w:ascii="PT Astra Serif" w:hAnsi="PT Astra Serif" w:cs="PT Astra Serif"/>
                <w:sz w:val="20"/>
                <w:szCs w:val="20"/>
              </w:rPr>
              <w:t>711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3335AA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3335AA" w:rsidP="003335A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77 409</w:t>
            </w:r>
            <w:r w:rsidR="00C4142C" w:rsidRPr="00C21EF4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115 397,9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84 225,4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120 853,7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3 209,6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3 209,6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07DC4" w:rsidRPr="00C21EF4" w:rsidTr="005C4416">
        <w:trPr>
          <w:trHeight w:val="61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B3D" w:rsidRPr="00C21EF4" w:rsidRDefault="00503B3D" w:rsidP="00503B3D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Мероприятие </w:t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</w:t>
            </w:r>
          </w:p>
          <w:p w:rsidR="00C07DC4" w:rsidRPr="00C21EF4" w:rsidRDefault="00503B3D" w:rsidP="00503B3D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467EB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3 621,9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3 621,9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C21EF4" w:rsidRDefault="00C07DC4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3335A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5C4416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467EBE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C21EF4" w:rsidRDefault="003335AA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1 508,3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 независимой оценки качества условий оказания муниципальных услуг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8F7B8B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5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«Обеспечение реализации муниципальной программы»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16</w:t>
            </w:r>
            <w:r w:rsidR="00D15C0C">
              <w:rPr>
                <w:rFonts w:ascii="PT Astra Serif" w:hAnsi="PT Astra Serif" w:cs="PT Astra Serif"/>
                <w:b/>
                <w:bCs/>
              </w:rPr>
              <w:t>3</w:t>
            </w:r>
            <w:r w:rsidRPr="00C21EF4">
              <w:rPr>
                <w:rFonts w:ascii="PT Astra Serif" w:hAnsi="PT Astra Serif" w:cs="PT Astra Serif"/>
                <w:b/>
                <w:bCs/>
              </w:rPr>
              <w:t> </w:t>
            </w:r>
            <w:r w:rsidR="00D15C0C">
              <w:rPr>
                <w:rFonts w:ascii="PT Astra Serif" w:hAnsi="PT Astra Serif" w:cs="PT Astra Serif"/>
                <w:b/>
                <w:bCs/>
              </w:rPr>
              <w:t>916</w:t>
            </w:r>
            <w:r w:rsidRPr="00C21EF4">
              <w:rPr>
                <w:rFonts w:ascii="PT Astra Serif" w:hAnsi="PT Astra Serif" w:cs="PT Astra Serif"/>
                <w:b/>
                <w:bCs/>
              </w:rPr>
              <w:t>,</w:t>
            </w:r>
            <w:r w:rsidR="00D15C0C">
              <w:rPr>
                <w:rFonts w:ascii="PT Astra Serif" w:hAnsi="PT Astra Serif" w:cs="PT Astra Serif"/>
                <w:b/>
                <w:bCs/>
              </w:rPr>
              <w:t>7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D15C0C">
              <w:rPr>
                <w:rFonts w:ascii="PT Astra Serif" w:hAnsi="PT Astra Serif" w:cs="PT Astra Serif"/>
                <w:sz w:val="24"/>
                <w:szCs w:val="24"/>
              </w:rPr>
              <w:t>20 255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15C0C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17 786,1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17 999,4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17 979,3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68054F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«Обеспечение реализации муниципальной программы»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C21EF4" w:rsidTr="00E84835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797F58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9 310,5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797F58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9 310,5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797F58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797F58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808,3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808,3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797F5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DC17B1">
              <w:rPr>
                <w:rFonts w:ascii="PT Astra Serif" w:hAnsi="PT Astra Serif" w:cs="PT Astra Serif"/>
                <w:sz w:val="20"/>
                <w:szCs w:val="20"/>
              </w:rPr>
              <w:t>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797F58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797F58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2702D6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«Реализация мероприятий в рамках целевого обучения по образовательным программам высшего образования» муниципальной программы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spacing w:val="-2"/>
                <w:sz w:val="22"/>
                <w:szCs w:val="22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660,0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50,0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68054F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«Реализация мероприятий в рамках целевого обучения по образовательным программам высшего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C21EF4" w:rsidTr="00E84835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4866B2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7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архивного дела» муниципальной программы </w:t>
      </w:r>
    </w:p>
    <w:p w:rsidR="0068054F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8054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68054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68054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68054F" w:rsidRDefault="00C4142C" w:rsidP="00C4142C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Создание оптимальных условий для обеспечения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</w:rPr>
              <w:br/>
              <w:t xml:space="preserve">улучшение условий хранения документов Архивного фонда муниципального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Стабильное формирование Архивного фонда муниципального образования Щекинский район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</w:rPr>
              <w:t>-страницу Портала муниципального образования Щекинский район и сайта «Единый электронный каталог архивов Тульской области»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C21EF4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4. У</w:t>
            </w:r>
            <w:r w:rsidRPr="00C21EF4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5.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6. Удовлетворение потребностей пользователей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2</w:t>
            </w:r>
            <w:r w:rsidR="007006FA">
              <w:rPr>
                <w:rFonts w:ascii="PT Astra Serif" w:hAnsi="PT Astra Serif" w:cs="PT Astra Serif"/>
                <w:b/>
                <w:bCs/>
              </w:rPr>
              <w:t>6</w:t>
            </w:r>
            <w:r w:rsidRPr="00C21EF4">
              <w:rPr>
                <w:rFonts w:ascii="PT Astra Serif" w:hAnsi="PT Astra Serif" w:cs="PT Astra Serif"/>
                <w:b/>
                <w:bCs/>
              </w:rPr>
              <w:t> </w:t>
            </w:r>
            <w:r w:rsidR="007006FA">
              <w:rPr>
                <w:rFonts w:ascii="PT Astra Serif" w:hAnsi="PT Astra Serif" w:cs="PT Astra Serif"/>
                <w:b/>
                <w:bCs/>
              </w:rPr>
              <w:t>020</w:t>
            </w:r>
            <w:r w:rsidRPr="00C21EF4">
              <w:rPr>
                <w:rFonts w:ascii="PT Astra Serif" w:hAnsi="PT Astra Serif" w:cs="PT Astra Serif"/>
                <w:b/>
                <w:bCs/>
              </w:rPr>
              <w:t>,</w:t>
            </w:r>
            <w:r w:rsidR="007006FA">
              <w:rPr>
                <w:rFonts w:ascii="PT Astra Serif" w:hAnsi="PT Astra Serif" w:cs="PT Astra Serif"/>
                <w:b/>
                <w:bCs/>
              </w:rPr>
              <w:t>1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2 </w:t>
            </w:r>
            <w:r w:rsidR="007006FA">
              <w:rPr>
                <w:rFonts w:ascii="PT Astra Serif" w:hAnsi="PT Astra Serif" w:cs="PT Astra Serif"/>
                <w:sz w:val="24"/>
                <w:szCs w:val="24"/>
              </w:rPr>
              <w:t>90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1,5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2 864,1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68054F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C21EF4" w:rsidTr="00E84835">
        <w:trPr>
          <w:trHeight w:val="334"/>
        </w:trPr>
        <w:tc>
          <w:tcPr>
            <w:tcW w:w="503" w:type="dxa"/>
            <w:vMerge w:val="restart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280"/>
        </w:trPr>
        <w:tc>
          <w:tcPr>
            <w:tcW w:w="15168" w:type="dxa"/>
            <w:gridSpan w:val="10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 w:val="restart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C21EF4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7006F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7006F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AD2CFD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0" w:type="auto"/>
        <w:jc w:val="right"/>
        <w:tblInd w:w="-106" w:type="dxa"/>
        <w:tblLook w:val="00A0" w:firstRow="1" w:lastRow="0" w:firstColumn="1" w:lastColumn="0" w:noHBand="0" w:noVBand="0"/>
      </w:tblPr>
      <w:tblGrid>
        <w:gridCol w:w="5322"/>
      </w:tblGrid>
      <w:tr w:rsidR="00C4142C" w:rsidRPr="00C21EF4" w:rsidTr="00E84835">
        <w:trPr>
          <w:jc w:val="right"/>
        </w:trPr>
        <w:tc>
          <w:tcPr>
            <w:tcW w:w="5322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</w:t>
            </w:r>
            <w:r w:rsidR="0068054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>8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r w:rsidRPr="00C21EF4">
              <w:rPr>
                <w:rFonts w:ascii="PT Astra Serif" w:hAnsi="PT Astra Serif" w:cs="PT Astra Serif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68054F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Адресный перечень объектов по муниципальной программе </w:t>
      </w:r>
    </w:p>
    <w:p w:rsidR="0068054F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Щекинский район», </w:t>
      </w:r>
    </w:p>
    <w:p w:rsidR="0068054F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планируемой к реализации на территории муниципального образования Щекинский район </w:t>
      </w:r>
    </w:p>
    <w:p w:rsidR="00C4142C" w:rsidRPr="00C21EF4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на 2022-2030 годы</w:t>
      </w: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3"/>
        <w:gridCol w:w="3725"/>
        <w:gridCol w:w="3724"/>
        <w:gridCol w:w="3720"/>
      </w:tblGrid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C21EF4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Развитие образования и архивного дела в муниципальном образовании Щекинский район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C21EF4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C21EF4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C21EF4">
              <w:rPr>
                <w:rFonts w:ascii="PT Astra Serif" w:hAnsi="PT Astra Serif" w:cs="PT Astra Serif"/>
              </w:rPr>
              <w:t>п.Головеньковский</w:t>
            </w:r>
            <w:proofErr w:type="spellEnd"/>
            <w:r w:rsidRPr="00C21EF4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307,4</w:t>
            </w:r>
          </w:p>
        </w:tc>
      </w:tr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307,4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C21EF4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№9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муниципальном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68054F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Характеристика показателей результативности муниципальной программы </w:t>
      </w:r>
    </w:p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217"/>
        <w:gridCol w:w="5368"/>
        <w:gridCol w:w="4678"/>
      </w:tblGrid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C21EF4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 </w:t>
            </w:r>
            <w:r w:rsidRPr="00C21EF4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ОО,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в общеобразовательных организациях, занимающихся в одну смену, в общей численности обучающихся в общеобразовательных организациях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численности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 также гарантированным Интернет-трафиком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для образовательных организаций, расположенных в городах, 50Мб/c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 также гарантированным Интернет-трафиком;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Мб/c;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численности обучающихся, в муниципальных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фактического выполнения муниципального задания в абсолютных показателях к плановому значению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C21EF4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C21EF4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МБУ ДО в Щекинском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C21EF4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C21EF4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C21EF4">
              <w:rPr>
                <w:rFonts w:ascii="PT Astra Serif" w:hAnsi="PT Astra Serif" w:cs="PT Astra Serif"/>
              </w:rPr>
              <w:t>мониторинг,годовой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C4142C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68054F" w:rsidRPr="00C21EF4" w:rsidRDefault="0068054F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</w:t>
      </w: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D14E1E">
      <w:headerReference w:type="default" r:id="rId14"/>
      <w:headerReference w:type="first" r:id="rId15"/>
      <w:type w:val="nextColumn"/>
      <w:pgSz w:w="16838" w:h="11906" w:orient="landscape"/>
      <w:pgMar w:top="170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99" w:rsidRDefault="008E2E99">
      <w:r>
        <w:separator/>
      </w:r>
    </w:p>
  </w:endnote>
  <w:endnote w:type="continuationSeparator" w:id="0">
    <w:p w:rsidR="008E2E99" w:rsidRDefault="008E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99" w:rsidRDefault="008E2E99">
      <w:r>
        <w:separator/>
      </w:r>
    </w:p>
  </w:footnote>
  <w:footnote w:type="continuationSeparator" w:id="0">
    <w:p w:rsidR="008E2E99" w:rsidRDefault="008E2E99">
      <w:r>
        <w:continuationSeparator/>
      </w:r>
    </w:p>
  </w:footnote>
  <w:footnote w:id="1">
    <w:p w:rsidR="00C4142C" w:rsidRDefault="00C4142C" w:rsidP="00C4142C">
      <w:pPr>
        <w:pStyle w:val="aff3"/>
      </w:pPr>
      <w:r w:rsidRPr="00987693">
        <w:rPr>
          <w:rStyle w:val="aff5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9987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8054F" w:rsidRPr="0068054F" w:rsidRDefault="0068054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68054F">
          <w:rPr>
            <w:rFonts w:ascii="PT Astra Serif" w:hAnsi="PT Astra Serif"/>
            <w:sz w:val="28"/>
            <w:szCs w:val="28"/>
          </w:rPr>
          <w:fldChar w:fldCharType="begin"/>
        </w:r>
        <w:r w:rsidRPr="006805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8054F">
          <w:rPr>
            <w:rFonts w:ascii="PT Astra Serif" w:hAnsi="PT Astra Serif"/>
            <w:sz w:val="28"/>
            <w:szCs w:val="28"/>
          </w:rPr>
          <w:fldChar w:fldCharType="separate"/>
        </w:r>
        <w:r w:rsidR="00C66E48">
          <w:rPr>
            <w:rFonts w:ascii="PT Astra Serif" w:hAnsi="PT Astra Serif"/>
            <w:noProof/>
            <w:sz w:val="28"/>
            <w:szCs w:val="28"/>
          </w:rPr>
          <w:t>28</w:t>
        </w:r>
        <w:r w:rsidRPr="006805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8054F" w:rsidRDefault="0068054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4F" w:rsidRDefault="0068054F">
    <w:pPr>
      <w:pStyle w:val="af0"/>
      <w:jc w:val="center"/>
    </w:pPr>
  </w:p>
  <w:p w:rsidR="0068054F" w:rsidRDefault="0068054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2C" w:rsidRDefault="00C4142C">
    <w:pPr>
      <w:pStyle w:val="af0"/>
      <w:jc w:val="center"/>
    </w:pPr>
  </w:p>
  <w:p w:rsidR="00C4142C" w:rsidRDefault="00C4142C">
    <w:pPr>
      <w:pStyle w:val="af0"/>
      <w:jc w:val="center"/>
    </w:pPr>
  </w:p>
  <w:p w:rsidR="00C4142C" w:rsidRDefault="005878C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C66E48">
      <w:rPr>
        <w:noProof/>
      </w:rPr>
      <w:t>29</w:t>
    </w:r>
    <w:r>
      <w:rPr>
        <w:noProof/>
      </w:rPr>
      <w:fldChar w:fldCharType="end"/>
    </w:r>
  </w:p>
  <w:p w:rsidR="00C4142C" w:rsidRPr="00310D6B" w:rsidRDefault="00C4142C" w:rsidP="00093EEA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350B5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0B291F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8054F">
          <w:rPr>
            <w:rFonts w:ascii="PT Astra Serif" w:hAnsi="PT Astra Serif"/>
            <w:noProof/>
            <w:sz w:val="28"/>
            <w:szCs w:val="28"/>
          </w:rPr>
          <w:t>59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6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19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0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7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0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3"/>
  </w:num>
  <w:num w:numId="5">
    <w:abstractNumId w:val="40"/>
  </w:num>
  <w:num w:numId="6">
    <w:abstractNumId w:val="6"/>
  </w:num>
  <w:num w:numId="7">
    <w:abstractNumId w:val="17"/>
  </w:num>
  <w:num w:numId="8">
    <w:abstractNumId w:val="35"/>
  </w:num>
  <w:num w:numId="9">
    <w:abstractNumId w:val="30"/>
  </w:num>
  <w:num w:numId="10">
    <w:abstractNumId w:val="13"/>
  </w:num>
  <w:num w:numId="11">
    <w:abstractNumId w:val="10"/>
  </w:num>
  <w:num w:numId="12">
    <w:abstractNumId w:val="3"/>
  </w:num>
  <w:num w:numId="13">
    <w:abstractNumId w:val="32"/>
  </w:num>
  <w:num w:numId="14">
    <w:abstractNumId w:val="12"/>
  </w:num>
  <w:num w:numId="15">
    <w:abstractNumId w:val="24"/>
  </w:num>
  <w:num w:numId="16">
    <w:abstractNumId w:val="21"/>
  </w:num>
  <w:num w:numId="17">
    <w:abstractNumId w:val="22"/>
  </w:num>
  <w:num w:numId="18">
    <w:abstractNumId w:val="7"/>
  </w:num>
  <w:num w:numId="19">
    <w:abstractNumId w:val="38"/>
  </w:num>
  <w:num w:numId="20">
    <w:abstractNumId w:val="16"/>
  </w:num>
  <w:num w:numId="21">
    <w:abstractNumId w:val="37"/>
  </w:num>
  <w:num w:numId="22">
    <w:abstractNumId w:val="28"/>
  </w:num>
  <w:num w:numId="23">
    <w:abstractNumId w:val="15"/>
  </w:num>
  <w:num w:numId="24">
    <w:abstractNumId w:val="9"/>
  </w:num>
  <w:num w:numId="25">
    <w:abstractNumId w:val="36"/>
  </w:num>
  <w:num w:numId="26">
    <w:abstractNumId w:val="1"/>
  </w:num>
  <w:num w:numId="27">
    <w:abstractNumId w:val="14"/>
  </w:num>
  <w:num w:numId="28">
    <w:abstractNumId w:val="23"/>
  </w:num>
  <w:num w:numId="29">
    <w:abstractNumId w:val="31"/>
  </w:num>
  <w:num w:numId="30">
    <w:abstractNumId w:val="27"/>
  </w:num>
  <w:num w:numId="31">
    <w:abstractNumId w:val="34"/>
  </w:num>
  <w:num w:numId="32">
    <w:abstractNumId w:val="20"/>
  </w:num>
  <w:num w:numId="33">
    <w:abstractNumId w:val="19"/>
  </w:num>
  <w:num w:numId="34">
    <w:abstractNumId w:val="11"/>
  </w:num>
  <w:num w:numId="35">
    <w:abstractNumId w:val="25"/>
  </w:num>
  <w:num w:numId="36">
    <w:abstractNumId w:val="26"/>
  </w:num>
  <w:num w:numId="37">
    <w:abstractNumId w:val="2"/>
  </w:num>
  <w:num w:numId="38">
    <w:abstractNumId w:val="39"/>
  </w:num>
  <w:num w:numId="39">
    <w:abstractNumId w:val="29"/>
  </w:num>
  <w:num w:numId="40">
    <w:abstractNumId w:val="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4A5"/>
    <w:rsid w:val="00030428"/>
    <w:rsid w:val="00031858"/>
    <w:rsid w:val="0004561B"/>
    <w:rsid w:val="00050A39"/>
    <w:rsid w:val="00097D31"/>
    <w:rsid w:val="000B291F"/>
    <w:rsid w:val="000B6DDA"/>
    <w:rsid w:val="000C572A"/>
    <w:rsid w:val="000D05A0"/>
    <w:rsid w:val="000E6231"/>
    <w:rsid w:val="000F03B2"/>
    <w:rsid w:val="000F1693"/>
    <w:rsid w:val="00115CE3"/>
    <w:rsid w:val="0011670F"/>
    <w:rsid w:val="001173BB"/>
    <w:rsid w:val="00117590"/>
    <w:rsid w:val="00140632"/>
    <w:rsid w:val="0016136D"/>
    <w:rsid w:val="00174B1C"/>
    <w:rsid w:val="00174BF8"/>
    <w:rsid w:val="001A5FBD"/>
    <w:rsid w:val="001C32A8"/>
    <w:rsid w:val="001C683F"/>
    <w:rsid w:val="001C7CE2"/>
    <w:rsid w:val="001E45B3"/>
    <w:rsid w:val="001E53E5"/>
    <w:rsid w:val="002013D6"/>
    <w:rsid w:val="0021412F"/>
    <w:rsid w:val="002147F8"/>
    <w:rsid w:val="0021485F"/>
    <w:rsid w:val="002175A9"/>
    <w:rsid w:val="00236560"/>
    <w:rsid w:val="00260B37"/>
    <w:rsid w:val="00270C3B"/>
    <w:rsid w:val="0029794D"/>
    <w:rsid w:val="002A16C1"/>
    <w:rsid w:val="002B4FD2"/>
    <w:rsid w:val="002D7781"/>
    <w:rsid w:val="002E54BE"/>
    <w:rsid w:val="003146A3"/>
    <w:rsid w:val="00322635"/>
    <w:rsid w:val="003335AA"/>
    <w:rsid w:val="00350B5F"/>
    <w:rsid w:val="003A2384"/>
    <w:rsid w:val="003C3A0B"/>
    <w:rsid w:val="003D216B"/>
    <w:rsid w:val="003F2FD4"/>
    <w:rsid w:val="00447BC0"/>
    <w:rsid w:val="00463813"/>
    <w:rsid w:val="0048387B"/>
    <w:rsid w:val="004964FF"/>
    <w:rsid w:val="004A3E4D"/>
    <w:rsid w:val="004C0D82"/>
    <w:rsid w:val="004C74A2"/>
    <w:rsid w:val="00503B3D"/>
    <w:rsid w:val="00527B97"/>
    <w:rsid w:val="0053061A"/>
    <w:rsid w:val="005331BC"/>
    <w:rsid w:val="00552062"/>
    <w:rsid w:val="00554C64"/>
    <w:rsid w:val="0056219F"/>
    <w:rsid w:val="005878C5"/>
    <w:rsid w:val="005B2800"/>
    <w:rsid w:val="005B3753"/>
    <w:rsid w:val="005C6B9A"/>
    <w:rsid w:val="005E7CCC"/>
    <w:rsid w:val="005F6D36"/>
    <w:rsid w:val="005F7562"/>
    <w:rsid w:val="005F7DEF"/>
    <w:rsid w:val="00603545"/>
    <w:rsid w:val="00631C5C"/>
    <w:rsid w:val="00634829"/>
    <w:rsid w:val="0068054F"/>
    <w:rsid w:val="006F2075"/>
    <w:rsid w:val="007006FA"/>
    <w:rsid w:val="007112E3"/>
    <w:rsid w:val="007143EE"/>
    <w:rsid w:val="0071624A"/>
    <w:rsid w:val="00724E8F"/>
    <w:rsid w:val="00735804"/>
    <w:rsid w:val="00742D16"/>
    <w:rsid w:val="00750ABC"/>
    <w:rsid w:val="00751008"/>
    <w:rsid w:val="00782742"/>
    <w:rsid w:val="00784E8A"/>
    <w:rsid w:val="00796661"/>
    <w:rsid w:val="00797F58"/>
    <w:rsid w:val="007B00FB"/>
    <w:rsid w:val="007B5F68"/>
    <w:rsid w:val="007C34CF"/>
    <w:rsid w:val="007F12CE"/>
    <w:rsid w:val="007F4F01"/>
    <w:rsid w:val="00826211"/>
    <w:rsid w:val="0083223B"/>
    <w:rsid w:val="00851CDD"/>
    <w:rsid w:val="00886A38"/>
    <w:rsid w:val="008A457D"/>
    <w:rsid w:val="008E2E99"/>
    <w:rsid w:val="008F2E0C"/>
    <w:rsid w:val="00906698"/>
    <w:rsid w:val="009110D2"/>
    <w:rsid w:val="00975E6C"/>
    <w:rsid w:val="009A7968"/>
    <w:rsid w:val="009E6AE1"/>
    <w:rsid w:val="00A24EB9"/>
    <w:rsid w:val="00A333F8"/>
    <w:rsid w:val="00A45B0E"/>
    <w:rsid w:val="00A53306"/>
    <w:rsid w:val="00A808D5"/>
    <w:rsid w:val="00AE3448"/>
    <w:rsid w:val="00B00492"/>
    <w:rsid w:val="00B0593F"/>
    <w:rsid w:val="00B562C1"/>
    <w:rsid w:val="00B57A59"/>
    <w:rsid w:val="00B63641"/>
    <w:rsid w:val="00BA4658"/>
    <w:rsid w:val="00BD2261"/>
    <w:rsid w:val="00BE39F0"/>
    <w:rsid w:val="00C07DC4"/>
    <w:rsid w:val="00C12950"/>
    <w:rsid w:val="00C22D15"/>
    <w:rsid w:val="00C4142C"/>
    <w:rsid w:val="00C50DBD"/>
    <w:rsid w:val="00C66E48"/>
    <w:rsid w:val="00CA5148"/>
    <w:rsid w:val="00CC4111"/>
    <w:rsid w:val="00CF25B5"/>
    <w:rsid w:val="00CF3559"/>
    <w:rsid w:val="00D14E1E"/>
    <w:rsid w:val="00D15C0C"/>
    <w:rsid w:val="00D456E8"/>
    <w:rsid w:val="00D56E87"/>
    <w:rsid w:val="00D74A82"/>
    <w:rsid w:val="00E03E77"/>
    <w:rsid w:val="00E06FAE"/>
    <w:rsid w:val="00E11B07"/>
    <w:rsid w:val="00E40803"/>
    <w:rsid w:val="00E41E47"/>
    <w:rsid w:val="00E727C9"/>
    <w:rsid w:val="00EF7BD7"/>
    <w:rsid w:val="00F53E17"/>
    <w:rsid w:val="00F63BDF"/>
    <w:rsid w:val="00F737E5"/>
    <w:rsid w:val="00F805BB"/>
    <w:rsid w:val="00F825D0"/>
    <w:rsid w:val="00F9458C"/>
    <w:rsid w:val="00F96022"/>
    <w:rsid w:val="00FA0851"/>
    <w:rsid w:val="00FA5747"/>
    <w:rsid w:val="00FD642B"/>
    <w:rsid w:val="00FE04D2"/>
    <w:rsid w:val="00FE125F"/>
    <w:rsid w:val="00FE62CD"/>
    <w:rsid w:val="00FE79E6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uiPriority w:val="99"/>
  </w:style>
  <w:style w:type="character" w:customStyle="1" w:styleId="a6">
    <w:name w:val="Тема примечания Знак"/>
    <w:uiPriority w:val="99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uiPriority w:val="99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99"/>
    <w:qFormat/>
    <w:rsid w:val="005B2800"/>
    <w:rPr>
      <w:sz w:val="24"/>
      <w:szCs w:val="24"/>
    </w:rPr>
  </w:style>
  <w:style w:type="table" w:styleId="afc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0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1">
    <w:name w:val="Основной текст_"/>
    <w:link w:val="18"/>
    <w:uiPriority w:val="99"/>
    <w:rsid w:val="00D14E1E"/>
    <w:rPr>
      <w:shd w:val="clear" w:color="auto" w:fill="FFFFFF"/>
    </w:rPr>
  </w:style>
  <w:style w:type="paragraph" w:customStyle="1" w:styleId="18">
    <w:name w:val="Основной текст1"/>
    <w:basedOn w:val="a"/>
    <w:link w:val="aff1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2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14E1E"/>
    <w:rPr>
      <w:sz w:val="24"/>
      <w:szCs w:val="24"/>
    </w:rPr>
  </w:style>
  <w:style w:type="paragraph" w:styleId="aff3">
    <w:name w:val="footnote text"/>
    <w:basedOn w:val="a"/>
    <w:link w:val="aff4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ff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9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a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b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6">
    <w:name w:val="Тема примечания Знак2"/>
    <w:basedOn w:val="a5"/>
    <w:link w:val="af4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uiPriority w:val="99"/>
  </w:style>
  <w:style w:type="character" w:customStyle="1" w:styleId="a6">
    <w:name w:val="Тема примечания Знак"/>
    <w:uiPriority w:val="99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uiPriority w:val="99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99"/>
    <w:qFormat/>
    <w:rsid w:val="005B2800"/>
    <w:rPr>
      <w:sz w:val="24"/>
      <w:szCs w:val="24"/>
    </w:rPr>
  </w:style>
  <w:style w:type="table" w:styleId="afc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0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1">
    <w:name w:val="Основной текст_"/>
    <w:link w:val="18"/>
    <w:uiPriority w:val="99"/>
    <w:rsid w:val="00D14E1E"/>
    <w:rPr>
      <w:shd w:val="clear" w:color="auto" w:fill="FFFFFF"/>
    </w:rPr>
  </w:style>
  <w:style w:type="paragraph" w:customStyle="1" w:styleId="18">
    <w:name w:val="Основной текст1"/>
    <w:basedOn w:val="a"/>
    <w:link w:val="aff1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2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14E1E"/>
    <w:rPr>
      <w:sz w:val="24"/>
      <w:szCs w:val="24"/>
    </w:rPr>
  </w:style>
  <w:style w:type="paragraph" w:styleId="aff3">
    <w:name w:val="footnote text"/>
    <w:basedOn w:val="a"/>
    <w:link w:val="aff4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ff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9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a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b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6">
    <w:name w:val="Тема примечания Знак2"/>
    <w:basedOn w:val="a5"/>
    <w:link w:val="af4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5F14-649A-4A8A-A454-32579B22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15644</Words>
  <Characters>89176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Воронцова АА</cp:lastModifiedBy>
  <cp:revision>2</cp:revision>
  <cp:lastPrinted>2022-06-08T10:52:00Z</cp:lastPrinted>
  <dcterms:created xsi:type="dcterms:W3CDTF">2022-08-31T12:45:00Z</dcterms:created>
  <dcterms:modified xsi:type="dcterms:W3CDTF">2022-08-31T12:45:00Z</dcterms:modified>
</cp:coreProperties>
</file>