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color w:val="000000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color w:val="000000"/>
          <w:sz w:val="33"/>
        </w:rPr>
      </w:pPr>
      <w:r>
        <w:rPr>
          <w:rFonts w:ascii="PT Astra Serif" w:hAnsi="PT Astra Serif"/>
          <w:b w:val="1"/>
          <w:color w:val="000000"/>
          <w:sz w:val="33"/>
        </w:rPr>
        <w:t>ПОСТАНОВЛЕНИЕ</w:t>
      </w:r>
    </w:p>
    <w:p w14:paraId="0D000000">
      <w:pPr>
        <w:widowControl w:val="1"/>
        <w:spacing w:before="200" w:line="200" w:lineRule="exact"/>
        <w:ind/>
        <w:rPr>
          <w:rFonts w:ascii="PT Astra Serif" w:hAnsi="PT Astra Serif"/>
          <w:b w:val="1"/>
          <w:color w:val="000000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</w:tcPr>
          <w:p w14:paraId="0E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26.06.2026</w:t>
            </w:r>
          </w:p>
        </w:tc>
        <w:tc>
          <w:tcPr>
            <w:tcW w:type="dxa" w:w="2409"/>
          </w:tcPr>
          <w:p w14:paraId="0F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 6 – 867</w:t>
            </w:r>
          </w:p>
        </w:tc>
      </w:tr>
    </w:tbl>
    <w:p w14:paraId="10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1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2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внесении изменения в постановление администрации</w:t>
      </w:r>
    </w:p>
    <w:p w14:paraId="13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муниципального образования Щекинский район от </w:t>
      </w:r>
      <w:r>
        <w:rPr>
          <w:rFonts w:ascii="PT Astra Serif" w:hAnsi="PT Astra Serif"/>
          <w:b w:val="1"/>
          <w:color w:val="000000"/>
          <w:sz w:val="28"/>
        </w:rPr>
        <w:t>03</w:t>
      </w:r>
      <w:r>
        <w:rPr>
          <w:rFonts w:ascii="PT Astra Serif" w:hAnsi="PT Astra Serif"/>
          <w:b w:val="1"/>
          <w:color w:val="000000"/>
          <w:sz w:val="28"/>
        </w:rPr>
        <w:t xml:space="preserve">.06.2022 </w:t>
      </w:r>
    </w:p>
    <w:p w14:paraId="14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№ 6-</w:t>
      </w:r>
      <w:r>
        <w:rPr>
          <w:rFonts w:ascii="PT Astra Serif" w:hAnsi="PT Astra Serif"/>
          <w:b w:val="1"/>
          <w:color w:val="000000"/>
          <w:sz w:val="28"/>
        </w:rPr>
        <w:t>666</w:t>
      </w:r>
      <w:r>
        <w:rPr>
          <w:rFonts w:ascii="PT Astra Serif" w:hAnsi="PT Astra Serif"/>
          <w:b w:val="1"/>
          <w:color w:val="000000"/>
          <w:sz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 xml:space="preserve">Направление уведомления </w:t>
      </w:r>
    </w:p>
    <w:p w14:paraId="15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  <w:r>
        <w:rPr>
          <w:rFonts w:ascii="PT Astra Serif" w:hAnsi="PT Astra Serif"/>
          <w:b w:val="1"/>
          <w:color w:val="000000"/>
          <w:sz w:val="28"/>
        </w:rPr>
        <w:t>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6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7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8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Щекинский район от 01.08.2025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Щекинского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9000000">
      <w:pPr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Внести изменение </w:t>
      </w:r>
      <w:r>
        <w:rPr>
          <w:rFonts w:ascii="PT Astra Serif" w:hAnsi="PT Astra Serif"/>
          <w:color w:val="000000"/>
          <w:sz w:val="28"/>
        </w:rPr>
        <w:t xml:space="preserve">в постановление администрации </w:t>
      </w:r>
      <w:r>
        <w:rPr>
          <w:rFonts w:ascii="PT Astra Serif" w:hAnsi="PT Astra Serif"/>
          <w:color w:val="000000"/>
          <w:sz w:val="28"/>
        </w:rPr>
        <w:t>муниципального о</w:t>
      </w:r>
      <w:r>
        <w:rPr>
          <w:rFonts w:ascii="PT Astra Serif" w:hAnsi="PT Astra Serif"/>
          <w:color w:val="000000"/>
          <w:sz w:val="28"/>
        </w:rPr>
        <w:t xml:space="preserve">бразования Щекинский район </w:t>
      </w:r>
      <w:r>
        <w:rPr>
          <w:rFonts w:ascii="PT Astra Serif" w:hAnsi="PT Astra Serif"/>
          <w:color w:val="000000"/>
          <w:sz w:val="28"/>
        </w:rPr>
        <w:t xml:space="preserve">от 03.06.2022 № 6-666 «Об утверждении административного регламента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</w:t>
      </w:r>
      <w:r>
        <w:rPr>
          <w:rFonts w:ascii="PT Astra Serif" w:hAnsi="PT Astra Serif"/>
          <w:color w:val="000000"/>
          <w:sz w:val="28"/>
        </w:rPr>
        <w:t>садового дома»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изложив приложение </w:t>
      </w:r>
      <w:r>
        <w:rPr>
          <w:rFonts w:ascii="PT Astra Serif" w:hAnsi="PT Astra Serif"/>
          <w:color w:val="000000"/>
          <w:sz w:val="28"/>
        </w:rPr>
        <w:t>в новой редакции (приложение).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3. </w:t>
      </w:r>
      <w:r>
        <w:rPr>
          <w:rFonts w:ascii="PT Astra Serif" w:hAnsi="PT Astra Serif"/>
          <w:color w:val="000000"/>
          <w:sz w:val="28"/>
        </w:rPr>
        <w:t>Настоящее п</w:t>
      </w:r>
      <w:r>
        <w:rPr>
          <w:rFonts w:ascii="PT Astra Serif" w:hAnsi="PT Astra Serif"/>
          <w:color w:val="000000"/>
          <w:sz w:val="28"/>
        </w:rPr>
        <w:t>остановление вступает в силу со дня официального обнародования.</w:t>
      </w:r>
    </w:p>
    <w:p w14:paraId="1C000000">
      <w:pPr>
        <w:widowControl w:val="1"/>
        <w:ind w:firstLine="709"/>
        <w:jc w:val="both"/>
        <w:rPr>
          <w:rFonts w:ascii="PT Astra Serif" w:hAnsi="PT Astra Serif"/>
          <w:color w:val="000000"/>
          <w:sz w:val="24"/>
        </w:rPr>
      </w:pPr>
    </w:p>
    <w:p w14:paraId="1D000000">
      <w:pPr>
        <w:widowControl w:val="0"/>
        <w:ind/>
        <w:jc w:val="both"/>
        <w:rPr>
          <w:rFonts w:ascii="PT Astra Serif" w:hAnsi="PT Astra Serif"/>
          <w:color w:val="000000"/>
          <w:spacing w:val="-4"/>
          <w:sz w:val="24"/>
        </w:rPr>
      </w:pPr>
    </w:p>
    <w:p w14:paraId="1E000000">
      <w:pPr>
        <w:widowControl w:val="0"/>
        <w:ind/>
        <w:jc w:val="both"/>
        <w:rPr>
          <w:rFonts w:ascii="PT Astra Serif" w:hAnsi="PT Astra Serif"/>
          <w:color w:val="000000"/>
          <w:spacing w:val="-4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1F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2889"/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А.С. Гамбург</w:t>
            </w:r>
          </w:p>
        </w:tc>
      </w:tr>
    </w:tbl>
    <w:p w14:paraId="22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85"/>
      </w:tblGrid>
      <w:tr>
        <w:tc>
          <w:tcPr>
            <w:tcW w:type="dxa" w:w="4785"/>
          </w:tcPr>
          <w:p w14:paraId="23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</w:t>
            </w:r>
          </w:p>
          <w:p w14:paraId="24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к постановлению администрации муниципального образования Щёкинский район</w:t>
            </w:r>
          </w:p>
          <w:p w14:paraId="25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6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26.06.2026 № 6 – 867</w:t>
            </w:r>
          </w:p>
        </w:tc>
      </w:tr>
      <w:tr>
        <w:tc>
          <w:tcPr>
            <w:tcW w:type="dxa" w:w="4785"/>
          </w:tcPr>
          <w:p w14:paraId="27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4785"/>
          </w:tcPr>
          <w:p w14:paraId="28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УТВЕРЖДЕН</w:t>
            </w:r>
          </w:p>
          <w:p w14:paraId="29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постановлением администрации</w:t>
            </w:r>
          </w:p>
          <w:p w14:paraId="2A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Щекинский район</w:t>
            </w:r>
          </w:p>
          <w:p w14:paraId="2C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2"/>
              </w:rPr>
            </w:pPr>
          </w:p>
          <w:p w14:paraId="2D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8"/>
              </w:rPr>
              <w:t>03</w:t>
            </w:r>
            <w:r>
              <w:rPr>
                <w:rFonts w:ascii="PT Astra Serif" w:hAnsi="PT Astra Serif"/>
                <w:color w:val="000000"/>
                <w:sz w:val="28"/>
              </w:rPr>
              <w:t>.06.2022 № 6-</w:t>
            </w:r>
            <w:r>
              <w:rPr>
                <w:rFonts w:ascii="PT Astra Serif" w:hAnsi="PT Astra Serif"/>
                <w:color w:val="000000"/>
                <w:sz w:val="28"/>
              </w:rPr>
              <w:t>666</w:t>
            </w:r>
          </w:p>
        </w:tc>
      </w:tr>
    </w:tbl>
    <w:p w14:paraId="2E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</w:t>
      </w:r>
    </w:p>
    <w:p w14:paraId="2F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30000000">
      <w:pPr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31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АДМИНИСТРАТИВНЫЙ РЕГЛАМЕНТ </w:t>
      </w:r>
    </w:p>
    <w:p w14:paraId="32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</w:p>
    <w:p w14:paraId="33000000">
      <w:pPr>
        <w:pStyle w:val="Style_3"/>
        <w:widowControl w:val="1"/>
        <w:spacing w:after="0" w:before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Направление уведомления о планируемых строительстве </w:t>
      </w:r>
    </w:p>
    <w:p w14:paraId="34000000">
      <w:pPr>
        <w:pStyle w:val="Style_3"/>
        <w:widowControl w:val="1"/>
        <w:spacing w:after="0" w:before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или реконструкции объекта индивидуального </w:t>
      </w:r>
    </w:p>
    <w:p w14:paraId="35000000">
      <w:pPr>
        <w:pStyle w:val="Style_3"/>
        <w:widowControl w:val="1"/>
        <w:spacing w:after="0" w:before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жилищного строительства или садового дома</w:t>
      </w:r>
      <w:r>
        <w:rPr>
          <w:rFonts w:ascii="PT Astra Serif" w:hAnsi="PT Astra Serif"/>
          <w:b w:val="1"/>
          <w:sz w:val="28"/>
        </w:rPr>
        <w:t>»</w:t>
      </w:r>
    </w:p>
    <w:p w14:paraId="36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7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8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9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A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C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D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E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rPr>
          <w:rFonts w:ascii="PT Astra Serif" w:hAnsi="PT Astra Serif"/>
          <w:b w:val="1"/>
          <w:color w:val="000000"/>
          <w:sz w:val="28"/>
        </w:rPr>
      </w:pPr>
    </w:p>
    <w:p w14:paraId="40000000">
      <w:pPr>
        <w:rPr>
          <w:rFonts w:ascii="PT Astra Serif" w:hAnsi="PT Astra Serif"/>
          <w:b w:val="1"/>
          <w:color w:val="000000"/>
          <w:sz w:val="28"/>
        </w:rPr>
      </w:pPr>
    </w:p>
    <w:p w14:paraId="41000000">
      <w:pPr>
        <w:rPr>
          <w:rFonts w:ascii="PT Astra Serif" w:hAnsi="PT Astra Serif"/>
          <w:b w:val="1"/>
          <w:color w:val="000000"/>
          <w:sz w:val="28"/>
        </w:rPr>
      </w:pPr>
    </w:p>
    <w:p w14:paraId="42000000">
      <w:pPr>
        <w:rPr>
          <w:rFonts w:ascii="PT Astra Serif" w:hAnsi="PT Astra Serif"/>
          <w:color w:val="000000"/>
        </w:rPr>
      </w:pPr>
    </w:p>
    <w:p w14:paraId="43000000">
      <w:pPr>
        <w:rPr>
          <w:rFonts w:ascii="PT Astra Serif" w:hAnsi="PT Astra Serif"/>
          <w:color w:val="000000"/>
        </w:rPr>
      </w:pPr>
    </w:p>
    <w:p w14:paraId="44000000">
      <w:pPr>
        <w:rPr>
          <w:rFonts w:ascii="PT Astra Serif" w:hAnsi="PT Astra Serif"/>
          <w:color w:val="000000"/>
        </w:rPr>
      </w:pPr>
    </w:p>
    <w:p w14:paraId="45000000">
      <w:pPr>
        <w:rPr>
          <w:rFonts w:ascii="PT Astra Serif" w:hAnsi="PT Astra Serif"/>
          <w:color w:val="000000"/>
        </w:rPr>
      </w:pPr>
    </w:p>
    <w:p w14:paraId="46000000">
      <w:pPr>
        <w:rPr>
          <w:rFonts w:ascii="PT Astra Serif" w:hAnsi="PT Astra Serif"/>
          <w:color w:val="000000"/>
        </w:rPr>
      </w:pPr>
    </w:p>
    <w:p w14:paraId="47000000">
      <w:pPr>
        <w:rPr>
          <w:rFonts w:ascii="PT Astra Serif" w:hAnsi="PT Astra Serif"/>
          <w:color w:val="000000"/>
        </w:rPr>
      </w:pPr>
    </w:p>
    <w:p w14:paraId="48000000">
      <w:pPr>
        <w:rPr>
          <w:rFonts w:ascii="PT Astra Serif" w:hAnsi="PT Astra Serif"/>
          <w:color w:val="000000"/>
        </w:rPr>
      </w:pPr>
    </w:p>
    <w:p w14:paraId="49000000">
      <w:pPr>
        <w:rPr>
          <w:rFonts w:ascii="PT Astra Serif" w:hAnsi="PT Astra Serif"/>
          <w:color w:val="000000"/>
        </w:rPr>
      </w:pPr>
    </w:p>
    <w:p w14:paraId="4A000000">
      <w:pPr>
        <w:rPr>
          <w:rFonts w:ascii="PT Astra Serif" w:hAnsi="PT Astra Serif"/>
          <w:color w:val="000000"/>
        </w:rPr>
      </w:pPr>
    </w:p>
    <w:p w14:paraId="4B000000">
      <w:pPr>
        <w:rPr>
          <w:rFonts w:ascii="PT Astra Serif" w:hAnsi="PT Astra Serif"/>
          <w:color w:val="000000"/>
        </w:rPr>
      </w:pPr>
    </w:p>
    <w:p w14:paraId="4C000000">
      <w:pPr>
        <w:rPr>
          <w:rFonts w:ascii="PT Astra Serif" w:hAnsi="PT Astra Serif"/>
          <w:color w:val="000000"/>
        </w:rPr>
      </w:pPr>
    </w:p>
    <w:p w14:paraId="4D000000">
      <w:pPr>
        <w:rPr>
          <w:rFonts w:ascii="PT Astra Serif" w:hAnsi="PT Astra Serif"/>
          <w:color w:val="000000"/>
        </w:rPr>
      </w:pPr>
    </w:p>
    <w:p w14:paraId="4E000000">
      <w:pPr>
        <w:rPr>
          <w:rFonts w:ascii="PT Astra Serif" w:hAnsi="PT Astra Serif"/>
          <w:color w:val="000000"/>
        </w:rPr>
      </w:pPr>
    </w:p>
    <w:p w14:paraId="4F000000">
      <w:pPr>
        <w:rPr>
          <w:rFonts w:ascii="PT Astra Serif" w:hAnsi="PT Astra Serif"/>
          <w:color w:val="000000"/>
        </w:rPr>
      </w:pPr>
    </w:p>
    <w:p w14:paraId="50000000">
      <w:pPr>
        <w:rPr>
          <w:rFonts w:ascii="PT Astra Serif" w:hAnsi="PT Astra Serif"/>
          <w:color w:val="000000"/>
        </w:rPr>
      </w:pPr>
    </w:p>
    <w:p w14:paraId="51000000">
      <w:pPr>
        <w:rPr>
          <w:rFonts w:ascii="PT Astra Serif" w:hAnsi="PT Astra Serif"/>
          <w:color w:val="000000"/>
        </w:rPr>
      </w:pPr>
    </w:p>
    <w:p w14:paraId="52000000">
      <w:pPr>
        <w:rPr>
          <w:rFonts w:ascii="PT Astra Serif" w:hAnsi="PT Astra Serif"/>
          <w:color w:val="000000"/>
        </w:rPr>
      </w:pPr>
    </w:p>
    <w:p w14:paraId="53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Общие положения</w:t>
      </w:r>
    </w:p>
    <w:p w14:paraId="54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</w:p>
    <w:p w14:paraId="55000000">
      <w:pPr>
        <w:keepNext w:val="1"/>
        <w:keepLines w:val="1"/>
        <w:widowControl w:val="1"/>
        <w:ind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</w:p>
    <w:p w14:paraId="56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Настоящий Административный регламент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PT Astra Serif" w:hAnsi="PT Astra Serif"/>
          <w:color w:val="000000"/>
          <w:sz w:val="28"/>
        </w:rPr>
        <w:t xml:space="preserve">» </w:t>
      </w:r>
      <w:r>
        <w:rPr>
          <w:rFonts w:ascii="PT Astra Serif" w:hAnsi="PT Astra Serif"/>
          <w:color w:val="000000"/>
          <w:sz w:val="28"/>
        </w:rPr>
        <w:t>устанавливает порядок и стандарт предоставления Услуги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1"/>
      </w:r>
      <w:r>
        <w:rPr>
          <w:rFonts w:ascii="PT Astra Serif" w:hAnsi="PT Astra Serif"/>
          <w:color w:val="000000"/>
          <w:sz w:val="28"/>
        </w:rPr>
        <w:t>.</w:t>
      </w:r>
    </w:p>
    <w:p w14:paraId="57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58000000">
      <w:pPr>
        <w:widowControl w:val="1"/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59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5A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Заявителями 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слуги являются застройщики: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№ 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строительства.</w:t>
      </w:r>
    </w:p>
    <w:p w14:paraId="5B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Федерации.</w:t>
      </w:r>
    </w:p>
    <w:p w14:paraId="5C000000">
      <w:pPr>
        <w:widowControl w:val="1"/>
        <w:tabs>
          <w:tab w:leader="none" w:pos="1134" w:val="left"/>
        </w:tabs>
        <w:ind w:left="709"/>
        <w:jc w:val="both"/>
        <w:rPr>
          <w:rFonts w:ascii="PT Astra Serif" w:hAnsi="PT Astra Serif"/>
          <w:color w:val="000000"/>
        </w:rPr>
      </w:pPr>
    </w:p>
    <w:p w14:paraId="5D000000">
      <w:pPr>
        <w:rPr>
          <w:rFonts w:ascii="PT Astra Serif" w:hAnsi="PT Astra Serif"/>
          <w:color w:val="000000"/>
          <w:sz w:val="28"/>
        </w:rPr>
      </w:pPr>
    </w:p>
    <w:p w14:paraId="5E000000">
      <w:pPr>
        <w:rPr>
          <w:rFonts w:ascii="PT Astra Serif" w:hAnsi="PT Astra Serif"/>
          <w:color w:val="000000"/>
          <w:sz w:val="28"/>
        </w:rPr>
      </w:pPr>
    </w:p>
    <w:p w14:paraId="5F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Требование предоставления заявителю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</w:t>
      </w:r>
    </w:p>
    <w:p w14:paraId="60000000">
      <w:pPr>
        <w:widowControl w:val="1"/>
        <w:ind/>
        <w:contextualSpacing w:val="1"/>
        <w:jc w:val="center"/>
        <w:rPr>
          <w:rStyle w:val="Style_4_ch"/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соответствии с категориями (признаками) за</w:t>
      </w:r>
      <w:r>
        <w:rPr>
          <w:rStyle w:val="Style_4_ch"/>
          <w:rFonts w:ascii="PT Astra Serif" w:hAnsi="PT Astra Serif"/>
          <w:b w:val="1"/>
          <w:color w:val="000000"/>
          <w:sz w:val="28"/>
        </w:rPr>
        <w:t xml:space="preserve">явителя, </w:t>
      </w:r>
    </w:p>
    <w:p w14:paraId="61000000">
      <w:pPr>
        <w:widowControl w:val="1"/>
        <w:ind/>
        <w:contextualSpacing w:val="1"/>
        <w:jc w:val="center"/>
        <w:rPr>
          <w:rStyle w:val="Style_4_ch"/>
          <w:rFonts w:ascii="PT Astra Serif" w:hAnsi="PT Astra Serif"/>
          <w:b w:val="1"/>
          <w:color w:val="000000"/>
          <w:sz w:val="28"/>
        </w:rPr>
      </w:pPr>
      <w:r>
        <w:rPr>
          <w:rStyle w:val="Style_4_ch"/>
          <w:rFonts w:ascii="PT Astra Serif" w:hAnsi="PT Astra Serif"/>
          <w:b w:val="1"/>
          <w:color w:val="000000"/>
          <w:sz w:val="28"/>
        </w:rPr>
        <w:t xml:space="preserve">сведения о котором размещаются в реестре услуг и в федеральной государственной информационной системе «Единый портал </w:t>
      </w:r>
    </w:p>
    <w:p w14:paraId="62000000">
      <w:pPr>
        <w:widowControl w:val="1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Style w:val="Style_4_ch"/>
          <w:rFonts w:ascii="PT Astra Serif" w:hAnsi="PT Astra Serif"/>
          <w:b w:val="1"/>
          <w:color w:val="000000"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  <w:color w:val="000000"/>
        </w:rPr>
        <w:br/>
      </w:r>
    </w:p>
    <w:p w14:paraId="63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64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18"/>
        </w:rPr>
      </w:pPr>
    </w:p>
    <w:p w14:paraId="65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66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7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68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69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>.</w:t>
      </w:r>
    </w:p>
    <w:p w14:paraId="6A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  <w:color w:val="000000"/>
        </w:rPr>
      </w:pPr>
    </w:p>
    <w:p w14:paraId="6B000000">
      <w:pPr>
        <w:widowControl w:val="1"/>
        <w:spacing w:after="160"/>
        <w:ind/>
        <w:contextualSpacing w:val="1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слугу</w:t>
      </w:r>
    </w:p>
    <w:p w14:paraId="6C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  <w:color w:val="000000"/>
        </w:rPr>
      </w:pPr>
    </w:p>
    <w:p w14:paraId="6D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предоставляется А</w:t>
      </w:r>
      <w:r>
        <w:rPr>
          <w:rFonts w:ascii="PT Astra Serif" w:hAnsi="PT Astra Serif"/>
          <w:color w:val="000000"/>
          <w:sz w:val="28"/>
        </w:rPr>
        <w:t>дминистрацией.</w:t>
      </w:r>
    </w:p>
    <w:p w14:paraId="6E000000">
      <w:pPr>
        <w:widowControl w:val="1"/>
        <w:numPr>
          <w:ilvl w:val="0"/>
          <w:numId w:val="1"/>
        </w:numPr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слуга предоставляется администрацией муниципального образования Щекинский район (далее – Администрация), управлением архитектуры, земельных и имущественных отношений администрации.</w:t>
      </w:r>
    </w:p>
    <w:p w14:paraId="6F000000">
      <w:pPr>
        <w:widowControl w:val="1"/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70000000">
      <w:pPr>
        <w:widowControl w:val="1"/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Результат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71000000">
      <w:pPr>
        <w:widowControl w:val="1"/>
        <w:spacing w:after="160"/>
        <w:ind w:left="709"/>
        <w:contextualSpacing w:val="1"/>
        <w:jc w:val="center"/>
        <w:rPr>
          <w:rFonts w:ascii="PT Astra Serif" w:hAnsi="PT Astra Serif"/>
          <w:color w:val="000000"/>
          <w:sz w:val="28"/>
        </w:rPr>
      </w:pPr>
    </w:p>
    <w:p w14:paraId="72000000">
      <w:pPr>
        <w:widowControl w:val="1"/>
        <w:numPr>
          <w:ilvl w:val="0"/>
          <w:numId w:val="1"/>
        </w:numPr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Результатом предоставления Услуги являются:</w:t>
      </w:r>
    </w:p>
    <w:p w14:paraId="73000000">
      <w:pPr>
        <w:pStyle w:val="Style_5"/>
        <w:widowControl w:val="1"/>
        <w:numPr>
          <w:ilvl w:val="1"/>
          <w:numId w:val="1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PT Astra Serif" w:hAnsi="PT Astra Serif"/>
          <w:color w:val="000000"/>
          <w:sz w:val="28"/>
        </w:rPr>
        <w:t xml:space="preserve"> (</w:t>
      </w:r>
      <w:r>
        <w:rPr>
          <w:rFonts w:ascii="PT Astra Serif" w:hAnsi="PT Astra Serif"/>
          <w:color w:val="000000"/>
          <w:sz w:val="28"/>
        </w:rPr>
        <w:t>форма документа утверждена</w:t>
      </w:r>
      <w:r>
        <w:rPr>
          <w:rFonts w:ascii="PT Astra Serif" w:hAnsi="PT Astra Serif"/>
          <w:color w:val="000000"/>
          <w:sz w:val="28"/>
        </w:rPr>
        <w:t xml:space="preserve"> Приказом Минстро</w:t>
      </w:r>
      <w:r>
        <w:rPr>
          <w:rFonts w:ascii="PT Astra Serif" w:hAnsi="PT Astra Serif"/>
          <w:color w:val="000000"/>
          <w:sz w:val="28"/>
        </w:rPr>
        <w:t>я России от 19.09.2018 N 591/пр</w:t>
      </w:r>
      <w:r>
        <w:rPr>
          <w:rFonts w:ascii="PT Astra Serif" w:hAnsi="PT Astra Serif"/>
          <w:color w:val="000000"/>
          <w:sz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дома»)</w:t>
      </w:r>
      <w:r>
        <w:rPr>
          <w:rFonts w:ascii="PT Astra Serif" w:hAnsi="PT Astra Serif"/>
          <w:color w:val="000000"/>
          <w:sz w:val="28"/>
        </w:rPr>
        <w:t>;</w:t>
      </w:r>
    </w:p>
    <w:p w14:paraId="74000000">
      <w:pPr>
        <w:pStyle w:val="Style_5"/>
        <w:widowControl w:val="1"/>
        <w:ind w:firstLine="709" w:left="0"/>
        <w:jc w:val="both"/>
        <w:rPr>
          <w:rFonts w:ascii="PT Astra Serif" w:hAnsi="PT Astra Serif"/>
          <w:color w:val="000000"/>
          <w:spacing w:val="-2"/>
          <w:sz w:val="28"/>
        </w:rPr>
      </w:pPr>
      <w:r>
        <w:rPr>
          <w:rFonts w:ascii="PT Astra Serif" w:hAnsi="PT Astra Serif"/>
          <w:color w:val="000000"/>
          <w:spacing w:val="-2"/>
          <w:sz w:val="28"/>
        </w:rPr>
        <w:t>б)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PT Astra Serif" w:hAnsi="PT Astra Serif"/>
          <w:color w:val="000000"/>
          <w:spacing w:val="-2"/>
          <w:sz w:val="28"/>
        </w:rPr>
        <w:t xml:space="preserve"> (</w:t>
      </w:r>
      <w:r>
        <w:rPr>
          <w:rFonts w:ascii="PT Astra Serif" w:hAnsi="PT Astra Serif"/>
          <w:color w:val="000000"/>
          <w:sz w:val="28"/>
        </w:rPr>
        <w:t>приложение</w:t>
      </w:r>
      <w:r>
        <w:rPr>
          <w:rFonts w:ascii="PT Astra Serif" w:hAnsi="PT Astra Serif"/>
          <w:color w:val="000000"/>
          <w:sz w:val="28"/>
        </w:rPr>
        <w:t> V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pacing w:val="-2"/>
          <w:sz w:val="28"/>
        </w:rPr>
        <w:t>.</w:t>
      </w:r>
    </w:p>
    <w:p w14:paraId="75000000">
      <w:pPr>
        <w:pStyle w:val="Style_5"/>
        <w:widowControl w:val="1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  <w:shd w:themeFill="background1" w:val="clear"/>
        </w:rPr>
        <w:t>8</w:t>
      </w:r>
      <w:r>
        <w:rPr>
          <w:rFonts w:ascii="PT Astra Serif" w:hAnsi="PT Astra Serif"/>
          <w:sz w:val="28"/>
          <w:shd w:themeFill="background1" w:val="clear"/>
        </w:rPr>
        <w:t xml:space="preserve">.1. </w:t>
      </w:r>
      <w:r>
        <w:rPr>
          <w:rFonts w:ascii="PT Astra Serif" w:hAnsi="PT Astra Serif"/>
          <w:color w:val="000000"/>
          <w:sz w:val="28"/>
        </w:rPr>
        <w:t>Уведомление</w:t>
      </w:r>
      <w:r>
        <w:rPr>
          <w:rFonts w:ascii="PT Astra Serif" w:hAnsi="PT Astra Serif"/>
          <w:color w:val="000000"/>
          <w:sz w:val="28"/>
        </w:rPr>
        <w:t xml:space="preserve">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PT Astra Serif" w:hAnsi="PT Astra Serif"/>
          <w:color w:val="000000"/>
          <w:sz w:val="28"/>
        </w:rPr>
        <w:t xml:space="preserve"> и </w:t>
      </w:r>
      <w:r>
        <w:rPr>
          <w:rFonts w:ascii="PT Astra Serif" w:hAnsi="PT Astra Serif"/>
          <w:color w:val="000000"/>
          <w:spacing w:val="-2"/>
          <w:sz w:val="28"/>
        </w:rPr>
        <w:t>уведомлени</w:t>
      </w:r>
      <w:r>
        <w:rPr>
          <w:rFonts w:ascii="PT Astra Serif" w:hAnsi="PT Astra Serif"/>
          <w:color w:val="000000"/>
          <w:spacing w:val="-2"/>
          <w:sz w:val="28"/>
        </w:rPr>
        <w:t>е</w:t>
      </w:r>
      <w:r>
        <w:rPr>
          <w:rFonts w:ascii="PT Astra Serif" w:hAnsi="PT Astra Serif"/>
          <w:color w:val="000000"/>
          <w:spacing w:val="-2"/>
          <w:sz w:val="28"/>
        </w:rPr>
        <w:t xml:space="preserve">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PT Astra Serif" w:hAnsi="PT Astra Serif"/>
          <w:sz w:val="28"/>
        </w:rPr>
        <w:t xml:space="preserve">, подписанные электронной подписью, направляются </w:t>
      </w:r>
      <w:r>
        <w:rPr>
          <w:rFonts w:ascii="PT Astra Serif" w:hAnsi="PT Astra Serif"/>
          <w:color w:val="000000"/>
          <w:sz w:val="28"/>
        </w:rPr>
        <w:t>посредством Единого портала.</w:t>
      </w:r>
    </w:p>
    <w:p w14:paraId="76000000">
      <w:pPr>
        <w:widowControl w:val="1"/>
        <w:tabs>
          <w:tab w:leader="none" w:pos="1134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color w:val="000000"/>
          <w:sz w:val="28"/>
        </w:rPr>
        <w:t xml:space="preserve">8.2. </w:t>
      </w:r>
      <w:r>
        <w:rPr>
          <w:rFonts w:ascii="PT Astra Serif" w:hAnsi="PT Astra Serif"/>
          <w:sz w:val="28"/>
        </w:rPr>
        <w:t>Результаты предоставления Услуги могут быть получены в МФЦ, путем направления почтового отправления, в личном кабинете на Едином портале.</w:t>
      </w:r>
    </w:p>
    <w:p w14:paraId="77000000">
      <w:pPr>
        <w:pStyle w:val="Style_5"/>
        <w:widowControl w:val="1"/>
        <w:ind w:firstLine="709" w:left="0"/>
        <w:jc w:val="both"/>
        <w:rPr>
          <w:rFonts w:ascii="PT Astra Serif" w:hAnsi="PT Astra Serif"/>
          <w:color w:val="000000"/>
          <w:spacing w:val="-2"/>
          <w:sz w:val="28"/>
        </w:rPr>
      </w:pPr>
    </w:p>
    <w:p w14:paraId="78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79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Срок предоставления Услуги: четыре рабочих дня со дня поступления в Администрацию </w:t>
      </w:r>
      <w:r>
        <w:rPr>
          <w:rFonts w:ascii="PT Astra Serif" w:hAnsi="PT Astra Serif"/>
          <w:color w:val="000000"/>
          <w:sz w:val="28"/>
        </w:rPr>
        <w:t>уведомления о планируемых строительстве или реконструкции объекта индивидуального жилищного строительства или садового дома.</w:t>
      </w:r>
    </w:p>
    <w:p w14:paraId="7A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 xml:space="preserve">при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слуги, и способы ее взимания</w:t>
      </w:r>
    </w:p>
    <w:p w14:paraId="7B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Плата за предоставление Услуги не взимается.</w:t>
      </w:r>
    </w:p>
    <w:p w14:paraId="7C000000">
      <w:pPr>
        <w:pStyle w:val="Style_5"/>
        <w:widowControl w:val="1"/>
        <w:tabs>
          <w:tab w:leader="none" w:pos="1134" w:val="left"/>
        </w:tabs>
        <w:ind w:left="709"/>
        <w:jc w:val="both"/>
        <w:rPr>
          <w:rStyle w:val="Style_4_ch"/>
          <w:rFonts w:ascii="PT Astra Serif" w:hAnsi="PT Astra Serif"/>
          <w:color w:val="000000"/>
          <w:sz w:val="28"/>
        </w:rPr>
      </w:pPr>
    </w:p>
    <w:p w14:paraId="7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Максимальный срок ожидания в очереди при подаче </w:t>
      </w:r>
    </w:p>
    <w:p w14:paraId="7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заявителем запроса о предоставлении муниципальной услуги и </w:t>
      </w:r>
    </w:p>
    <w:p w14:paraId="7F000000">
      <w:pPr>
        <w:keepNext w:val="1"/>
        <w:keepLines w:val="1"/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при получении результата предоставления муниципальной услуги</w:t>
      </w:r>
    </w:p>
    <w:p w14:paraId="80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1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составляет не более 15 минут.</w:t>
      </w:r>
    </w:p>
    <w:p w14:paraId="82000000">
      <w:pPr>
        <w:widowControl w:val="1"/>
        <w:spacing w:after="160" w:before="24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Срок регистрации </w:t>
      </w:r>
      <w:r>
        <w:rPr>
          <w:rFonts w:ascii="PT Astra Serif" w:hAnsi="PT Astra Serif"/>
          <w:b w:val="1"/>
          <w:sz w:val="28"/>
        </w:rPr>
        <w:t>заявления</w:t>
      </w:r>
    </w:p>
    <w:p w14:paraId="83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84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Уведомление о планируемом строительстве, уведомление об изменении параметров</w:t>
      </w:r>
      <w:r>
        <w:rPr>
          <w:rFonts w:ascii="PT Astra Serif" w:hAnsi="PT Astra Serif"/>
          <w:sz w:val="28"/>
        </w:rPr>
        <w:t>, поступившее в МФЦ в письменной форме, подлежит обязательной регистрации в соответствии с правилами делопроизводства в день обращения заявителя сотрудником, ответственным за прием и регистрацию корреспонденции.</w:t>
      </w:r>
    </w:p>
    <w:p w14:paraId="85000000">
      <w:pPr>
        <w:widowControl w:val="1"/>
        <w:numPr>
          <w:ilvl w:val="0"/>
          <w:numId w:val="1"/>
        </w:numPr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При подаче </w:t>
      </w:r>
      <w:r>
        <w:rPr>
          <w:rFonts w:ascii="PT Astra Serif" w:hAnsi="PT Astra Serif"/>
          <w:color w:val="000000"/>
          <w:sz w:val="28"/>
        </w:rPr>
        <w:t xml:space="preserve">уведомления о планируемом строительстве, уведомление об изменении параметров </w:t>
      </w:r>
      <w:r>
        <w:rPr>
          <w:rFonts w:ascii="PT Astra Serif" w:hAnsi="PT Astra Serif"/>
          <w:sz w:val="28"/>
        </w:rPr>
        <w:t>через ЕПГУ, РПГУ оно автоматически фиксируется в режиме реального времени в электронной системе. Регистрация заявления о выдаче разрешения на ввод объекта в эксплуатацию, внесении изменений в разрешение на ввод объекта в эксплуатацию, поданного в электронном виде, осуществляется ответственным сот</w:t>
      </w:r>
      <w:r>
        <w:rPr>
          <w:rFonts w:ascii="PT Astra Serif" w:hAnsi="PT Astra Serif"/>
          <w:sz w:val="28"/>
        </w:rPr>
        <w:t>рудником А</w:t>
      </w:r>
      <w:r>
        <w:rPr>
          <w:rFonts w:ascii="PT Astra Serif" w:hAnsi="PT Astra Serif"/>
          <w:sz w:val="28"/>
        </w:rPr>
        <w:t>дминистрации не позднее одного рабочего дня, следующего за днем поступления, с сохранением присвоенного системой индивидуального номера.</w:t>
      </w:r>
    </w:p>
    <w:p w14:paraId="86000000">
      <w:pPr>
        <w:widowControl w:val="1"/>
        <w:tabs>
          <w:tab w:leader="none" w:pos="1134" w:val="left"/>
        </w:tabs>
        <w:ind w:left="709"/>
        <w:contextualSpacing w:val="1"/>
        <w:jc w:val="both"/>
        <w:rPr>
          <w:rFonts w:ascii="PT Astra Serif" w:hAnsi="PT Astra Serif"/>
        </w:rPr>
      </w:pPr>
    </w:p>
    <w:p w14:paraId="8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</w:t>
      </w:r>
    </w:p>
    <w:p w14:paraId="88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предоставляется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</w:t>
      </w:r>
      <w:r>
        <w:rPr>
          <w:rStyle w:val="Style_4_ch"/>
          <w:rFonts w:ascii="PT Astra Serif" w:hAnsi="PT Astra Serif"/>
          <w:b w:val="1"/>
          <w:sz w:val="28"/>
        </w:rPr>
        <w:t>луга</w:t>
      </w:r>
    </w:p>
    <w:p w14:paraId="89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8A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 не устанавливаются</w:t>
      </w:r>
      <w:r>
        <w:rPr>
          <w:rFonts w:ascii="PT Astra Serif" w:hAnsi="PT Astra Serif"/>
          <w:sz w:val="28"/>
        </w:rPr>
        <w:t>.</w:t>
      </w:r>
    </w:p>
    <w:p w14:paraId="8B000000">
      <w:pPr>
        <w:widowControl w:val="1"/>
        <w:tabs>
          <w:tab w:leader="none" w:pos="1134" w:val="left"/>
        </w:tabs>
        <w:ind w:left="709"/>
        <w:contextualSpacing w:val="1"/>
        <w:jc w:val="both"/>
        <w:rPr>
          <w:rFonts w:ascii="PT Astra Serif" w:hAnsi="PT Astra Serif"/>
        </w:rPr>
      </w:pPr>
    </w:p>
    <w:p w14:paraId="8C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Пок</w:t>
      </w:r>
      <w:r>
        <w:rPr>
          <w:rFonts w:ascii="PT Astra Serif" w:hAnsi="PT Astra Serif"/>
          <w:b w:val="1"/>
          <w:sz w:val="28"/>
        </w:rPr>
        <w:t>азатели доступности и качества У</w:t>
      </w:r>
      <w:r>
        <w:rPr>
          <w:rFonts w:ascii="PT Astra Serif" w:hAnsi="PT Astra Serif"/>
          <w:b w:val="1"/>
          <w:sz w:val="28"/>
        </w:rPr>
        <w:t>слуги</w:t>
      </w:r>
    </w:p>
    <w:p w14:paraId="8D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8E000000">
      <w:pPr>
        <w:pStyle w:val="Style_5"/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Показатели доступности и качества Услуги, на официальном сайте муниципального образования Щекинский район в информационно-телекоммуникационной сети «Интернет», а также на Едином портале".</w:t>
      </w:r>
    </w:p>
    <w:p w14:paraId="8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15.1. </w:t>
      </w:r>
      <w:r>
        <w:rPr>
          <w:rFonts w:ascii="PT Astra Serif" w:hAnsi="PT Astra Serif"/>
          <w:sz w:val="28"/>
        </w:rPr>
        <w:t>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</w:t>
      </w:r>
    </w:p>
    <w:p w14:paraId="90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14:paraId="91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данных»;</w:t>
      </w:r>
    </w:p>
    <w:p w14:paraId="92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обращения, поступившие посредством телефонной связи.</w:t>
      </w:r>
    </w:p>
    <w:p w14:paraId="93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15.2.</w:t>
      </w:r>
      <w:r>
        <w:rPr>
          <w:rFonts w:ascii="PT Astra Serif" w:hAnsi="PT Astra Serif"/>
          <w:sz w:val="28"/>
        </w:rPr>
        <w:t xml:space="preserve">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94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15.3.</w:t>
      </w:r>
      <w:r>
        <w:rPr>
          <w:rFonts w:ascii="PT Astra Serif" w:hAnsi="PT Astra Serif"/>
          <w:sz w:val="28"/>
        </w:rPr>
        <w:t xml:space="preserve">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14:paraId="95000000">
      <w:pPr>
        <w:keepNext w:val="1"/>
        <w:keepLines w:val="1"/>
        <w:widowControl w:val="0"/>
        <w:spacing w:after="240" w:before="480" w:line="276" w:lineRule="auto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Иные требования к предоставлению Услуги</w:t>
      </w:r>
    </w:p>
    <w:p w14:paraId="96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97000000">
      <w:pPr>
        <w:widowControl w:val="1"/>
        <w:numPr>
          <w:ilvl w:val="0"/>
          <w:numId w:val="1"/>
        </w:numPr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Информационные системы, используемая для предоставления Услуги — Региональная геоинформационная система Тульской области, единая система межведомственного электронного взаимодействия, Единый портал.</w:t>
      </w:r>
    </w:p>
    <w:p w14:paraId="98000000">
      <w:pPr>
        <w:widowControl w:val="1"/>
        <w:numPr>
          <w:ilvl w:val="0"/>
          <w:numId w:val="1"/>
        </w:numPr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 Услуги совершеннолетним гражданам.</w:t>
      </w:r>
    </w:p>
    <w:p w14:paraId="99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</w:t>
      </w:r>
      <w:r>
        <w:rPr>
          <w:rStyle w:val="Style_4_ch"/>
          <w:rFonts w:ascii="PT Astra Serif" w:hAnsi="PT Astra Serif"/>
          <w:sz w:val="28"/>
        </w:rPr>
        <w:t>Услуга предоставляется только совершеннолетним гражданам.</w:t>
      </w:r>
    </w:p>
    <w:p w14:paraId="9A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14:paraId="9B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МФЦ может быть принято решение об отказе в приеме запроса о предоставлении Услуги и документов, необходимых для ее предоставления.</w:t>
      </w:r>
    </w:p>
    <w:p w14:paraId="9C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учреждением по результатам предоставления Услуги.</w:t>
      </w:r>
    </w:p>
    <w:p w14:paraId="9D000000">
      <w:pPr>
        <w:pStyle w:val="Style_5"/>
        <w:widowControl w:val="1"/>
        <w:ind w:firstLine="709" w:left="0"/>
        <w:jc w:val="both"/>
        <w:rPr>
          <w:rStyle w:val="Style_4_ch"/>
          <w:rFonts w:ascii="PT Astra Serif" w:hAnsi="PT Astra Serif"/>
          <w:color w:val="FF0000"/>
          <w:sz w:val="28"/>
        </w:rPr>
      </w:pPr>
    </w:p>
    <w:p w14:paraId="9E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9F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A0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A1000000">
      <w:pPr>
        <w:widowControl w:val="1"/>
        <w:numPr>
          <w:ilvl w:val="0"/>
          <w:numId w:val="1"/>
        </w:numPr>
        <w:tabs>
          <w:tab w:leader="none" w:pos="1276" w:val="left"/>
        </w:tabs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Исчерпывающий перечень документов, необходимых для</w:t>
      </w:r>
      <w:r>
        <w:t xml:space="preserve"> </w:t>
      </w:r>
      <w:r>
        <w:rPr>
          <w:rFonts w:ascii="PT Astra Serif" w:hAnsi="PT Astra Serif"/>
          <w:sz w:val="28"/>
        </w:rPr>
        <w:t>предоставления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в таблице № 2, содержащейся в приложении к настоящему Административному регламенту.</w:t>
      </w:r>
    </w:p>
    <w:p w14:paraId="A2000000">
      <w:pPr>
        <w:widowControl w:val="1"/>
        <w:numPr>
          <w:ilvl w:val="0"/>
          <w:numId w:val="1"/>
        </w:numPr>
        <w:tabs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Формы запроса о предоставлении Услуги приведены в приложении к настоящему Административному регламенту.</w:t>
      </w:r>
    </w:p>
    <w:p w14:paraId="A3000000">
      <w:pPr>
        <w:widowControl w:val="0"/>
        <w:ind/>
        <w:jc w:val="both"/>
        <w:outlineLvl w:val="2"/>
        <w:rPr>
          <w:rFonts w:ascii="PT Astra Serif" w:hAnsi="PT Astra Serif"/>
          <w:color w:val="000000"/>
          <w:sz w:val="28"/>
        </w:rPr>
      </w:pPr>
    </w:p>
    <w:p w14:paraId="A4000000">
      <w:pPr>
        <w:pStyle w:val="Style_5"/>
        <w:widowControl w:val="1"/>
        <w:ind w:firstLine="709" w:left="0"/>
        <w:jc w:val="both"/>
        <w:rPr>
          <w:rStyle w:val="Style_4_ch"/>
          <w:rFonts w:ascii="PT Astra Serif" w:hAnsi="PT Astra Serif"/>
          <w:color w:val="FF0000"/>
          <w:sz w:val="28"/>
        </w:rPr>
      </w:pPr>
    </w:p>
    <w:p w14:paraId="A5000000">
      <w:pPr>
        <w:pStyle w:val="Style_5"/>
        <w:widowControl w:val="1"/>
        <w:ind w:firstLine="709" w:left="0"/>
        <w:jc w:val="both"/>
        <w:rPr>
          <w:rStyle w:val="Style_4_ch"/>
          <w:rFonts w:ascii="PT Astra Serif" w:hAnsi="PT Astra Serif"/>
          <w:color w:val="FF0000"/>
          <w:sz w:val="28"/>
        </w:rPr>
      </w:pPr>
    </w:p>
    <w:p w14:paraId="A6000000">
      <w:pPr>
        <w:pStyle w:val="Style_5"/>
        <w:widowControl w:val="1"/>
        <w:ind w:firstLine="709" w:left="0"/>
        <w:jc w:val="both"/>
        <w:rPr>
          <w:rStyle w:val="Style_4_ch"/>
          <w:rFonts w:ascii="PT Astra Serif" w:hAnsi="PT Astra Serif"/>
          <w:color w:val="FF0000"/>
          <w:sz w:val="28"/>
        </w:rPr>
      </w:pPr>
    </w:p>
    <w:p w14:paraId="A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</w:t>
      </w:r>
    </w:p>
    <w:p w14:paraId="A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предоставлении Услуги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A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8"/>
        </w:rPr>
      </w:pPr>
    </w:p>
    <w:p w14:paraId="AA000000">
      <w:pPr>
        <w:pStyle w:val="Style_5"/>
        <w:widowControl w:val="1"/>
        <w:numPr>
          <w:ilvl w:val="0"/>
          <w:numId w:val="1"/>
        </w:numPr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оснований для отказа в предоставлении Услуги, указаны в приложении таблица № 3 настоящего Административного регламента.</w:t>
      </w:r>
    </w:p>
    <w:p w14:paraId="AB000000">
      <w:pPr>
        <w:pStyle w:val="Style_5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709"/>
        <w:jc w:val="both"/>
        <w:rPr>
          <w:rFonts w:ascii="PT Astra Serif" w:hAnsi="PT Astra Serif"/>
          <w:color w:val="000000"/>
          <w:sz w:val="28"/>
        </w:rPr>
      </w:pPr>
    </w:p>
    <w:p w14:paraId="AC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AD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AE000000">
      <w:pPr>
        <w:pStyle w:val="Style_5"/>
        <w:widowControl w:val="1"/>
        <w:numPr>
          <w:ilvl w:val="0"/>
          <w:numId w:val="1"/>
        </w:numPr>
        <w:tabs>
          <w:tab w:leader="none" w:pos="1276" w:val="left"/>
        </w:tabs>
        <w:spacing w:after="160"/>
        <w:ind w:firstLine="709"/>
        <w:jc w:val="both"/>
      </w:pP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(или) информации:</w:t>
      </w:r>
    </w:p>
    <w:p w14:paraId="AF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о предоставлении Услуги подан в орган местного самоуправления,  в полномочия которого не входит предоставление Услуги;</w:t>
      </w:r>
    </w:p>
    <w:p w14:paraId="B0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B1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B2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</w:t>
      </w:r>
      <w:r>
        <w:rPr>
          <w:rStyle w:val="Style_4_ch"/>
          <w:rFonts w:ascii="PT Astra Serif" w:hAnsi="PT Astra Serif"/>
          <w:sz w:val="28"/>
        </w:rPr>
        <w:t>представления интересов заявителя при подаче запроса и документов;</w:t>
      </w:r>
    </w:p>
    <w:p w14:paraId="B3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 xml:space="preserve"> отсутствие в уведомлении о планируемом строительстве сведений, предусмотренных частью 1 статьи 51.1 ГрК РФ, или документов, предусмотренных пунктами 2 - 4 части 3 статьи 51.1 ГрК РФ;</w:t>
      </w:r>
    </w:p>
    <w:p w14:paraId="B4000000">
      <w:pPr>
        <w:widowControl w:val="1"/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заполнение).</w:t>
      </w:r>
    </w:p>
    <w:p w14:paraId="B5000000">
      <w:pPr>
        <w:pStyle w:val="Style_5"/>
        <w:widowControl w:val="1"/>
        <w:ind w:left="709"/>
        <w:jc w:val="both"/>
        <w:rPr>
          <w:rFonts w:ascii="PT Astra Serif" w:hAnsi="PT Astra Serif"/>
          <w:color w:val="000000"/>
          <w:sz w:val="28"/>
        </w:rPr>
      </w:pPr>
    </w:p>
    <w:p w14:paraId="B600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или отказа </w:t>
      </w:r>
      <w:r>
        <w:rPr>
          <w:rFonts w:ascii="PT Astra Serif" w:hAnsi="PT Astra Serif"/>
          <w:b w:val="1"/>
          <w:color w:val="000000"/>
          <w:sz w:val="28"/>
        </w:rPr>
        <w:t xml:space="preserve">в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B7000000">
      <w:pPr>
        <w:pStyle w:val="Style_6"/>
        <w:widowControl w:val="1"/>
        <w:numPr>
          <w:ilvl w:val="0"/>
          <w:numId w:val="0"/>
        </w:numPr>
        <w:spacing w:line="360" w:lineRule="exact"/>
        <w:ind w:left="426"/>
        <w:jc w:val="left"/>
        <w:rPr>
          <w:rFonts w:ascii="PT Astra Serif" w:hAnsi="PT Astra Serif"/>
          <w:color w:val="000000"/>
        </w:rPr>
      </w:pPr>
    </w:p>
    <w:p w14:paraId="B8000000">
      <w:pPr>
        <w:pStyle w:val="Style_5"/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Основания для приостановления предоставления 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слуги, отсутствуют.</w:t>
      </w:r>
    </w:p>
    <w:p w14:paraId="B9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FF0000"/>
          <w:sz w:val="28"/>
        </w:rPr>
      </w:pPr>
    </w:p>
    <w:p w14:paraId="BA000000">
      <w:pPr>
        <w:widowControl w:val="1"/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FF0000"/>
          <w:sz w:val="28"/>
        </w:rPr>
      </w:pPr>
    </w:p>
    <w:p w14:paraId="BB000000">
      <w:pPr>
        <w:widowControl w:val="1"/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FF0000"/>
          <w:sz w:val="28"/>
        </w:rPr>
      </w:pPr>
    </w:p>
    <w:p w14:paraId="BC000000">
      <w:pPr>
        <w:widowControl w:val="1"/>
        <w:tabs>
          <w:tab w:leader="none" w:pos="1134" w:val="left"/>
        </w:tabs>
        <w:ind w:left="2010"/>
        <w:contextualSpacing w:val="1"/>
        <w:jc w:val="both"/>
        <w:rPr>
          <w:rFonts w:ascii="PT Astra Serif" w:hAnsi="PT Astra Serif"/>
        </w:rPr>
      </w:pPr>
    </w:p>
    <w:p w14:paraId="B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III. Состав, последовательность и сроки </w:t>
      </w:r>
    </w:p>
    <w:p w14:paraId="B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выполнения административных процедур</w:t>
      </w:r>
    </w:p>
    <w:p w14:paraId="B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</w:rPr>
      </w:pPr>
    </w:p>
    <w:p w14:paraId="C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административных процедур</w:t>
      </w:r>
    </w:p>
    <w:p w14:paraId="C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C2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28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Услуга включает в себя следующие административные процедуры:</w:t>
      </w:r>
    </w:p>
    <w:p w14:paraId="C3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C4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 прием заявления и документов и (или) информации, необходимых для предоставления Услуги;</w:t>
      </w:r>
    </w:p>
    <w:p w14:paraId="C5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 межведомственное информационное взаимодействие;</w:t>
      </w:r>
    </w:p>
    <w:p w14:paraId="C6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pacing w:val="-10"/>
          <w:sz w:val="28"/>
        </w:rPr>
      </w:pPr>
      <w:r>
        <w:rPr>
          <w:rFonts w:ascii="PT Astra Serif" w:hAnsi="PT Astra Serif"/>
          <w:color w:val="000000"/>
          <w:spacing w:val="-10"/>
          <w:sz w:val="28"/>
        </w:rPr>
        <w:t>4) принятие решения о предоставлении (об отказе в предоставлении) Услуги;</w:t>
      </w:r>
    </w:p>
    <w:p w14:paraId="C7000000">
      <w:pPr>
        <w:widowControl w:val="1"/>
        <w:tabs>
          <w:tab w:leader="none" w:pos="1134" w:val="left"/>
        </w:tabs>
        <w:ind w:left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</w:t>
      </w:r>
      <w:r>
        <w:rPr>
          <w:rFonts w:ascii="PT Astra Serif" w:hAnsi="PT Astra Serif"/>
          <w:color w:val="000000"/>
          <w:sz w:val="28"/>
        </w:rPr>
        <w:t>5) предоставление результата Услуги</w:t>
      </w:r>
      <w:r>
        <w:rPr>
          <w:rFonts w:ascii="PT Astra Serif" w:hAnsi="PT Astra Serif"/>
          <w:sz w:val="28"/>
        </w:rPr>
        <w:t>.</w:t>
      </w:r>
    </w:p>
    <w:p w14:paraId="C8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</w:rPr>
      </w:pPr>
    </w:p>
    <w:p w14:paraId="C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CA000000">
      <w:pPr>
        <w:widowControl w:val="1"/>
        <w:ind/>
        <w:jc w:val="center"/>
        <w:rPr>
          <w:rFonts w:ascii="PT Astra Serif" w:hAnsi="PT Astra Serif"/>
        </w:rPr>
      </w:pPr>
    </w:p>
    <w:p w14:paraId="CB000000">
      <w:pPr>
        <w:pStyle w:val="Style_5"/>
        <w:widowControl w:val="1"/>
        <w:numPr>
          <w:ilvl w:val="0"/>
          <w:numId w:val="2"/>
        </w:numPr>
        <w:tabs>
          <w:tab w:leader="none" w:pos="1276" w:val="left"/>
        </w:tabs>
        <w:ind w:firstLine="709" w:left="0"/>
        <w:jc w:val="both"/>
      </w:pPr>
      <w:r>
        <w:rPr>
          <w:rFonts w:ascii="PT Astra Serif" w:hAnsi="PT Astra Serif"/>
          <w:sz w:val="28"/>
        </w:rPr>
        <w:t xml:space="preserve">Профилирование заявителя осуществляется: </w:t>
      </w:r>
    </w:p>
    <w:p w14:paraId="CC000000">
      <w:pPr>
        <w:widowControl w:val="0"/>
        <w:tabs>
          <w:tab w:leader="none" w:pos="1276" w:val="left"/>
        </w:tabs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а) на Едином портале;</w:t>
      </w:r>
    </w:p>
    <w:p w14:paraId="CD000000">
      <w:pPr>
        <w:widowControl w:val="0"/>
        <w:tabs>
          <w:tab w:leader="none" w:pos="1276" w:val="left"/>
        </w:tabs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б) в МФЦ.</w:t>
      </w:r>
    </w:p>
    <w:p w14:paraId="CE000000">
      <w:pPr>
        <w:widowControl w:val="1"/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</w:pPr>
      <w:r>
        <w:t xml:space="preserve"> </w:t>
      </w:r>
      <w:r>
        <w:rPr>
          <w:rFonts w:ascii="PT Astra Serif" w:hAnsi="PT Astra Serif"/>
          <w:sz w:val="28"/>
        </w:rPr>
        <w:t>Идентификаторы категорий (признаков) заявителей, приведены в таблице № 1 приложения к настоящему Административному регламент.</w:t>
      </w:r>
    </w:p>
    <w:p w14:paraId="C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</w:t>
      </w:r>
      <w:r>
        <w:rPr>
          <w:rFonts w:ascii="PT Astra Serif" w:hAnsi="PT Astra Serif"/>
          <w:b w:val="1"/>
          <w:sz w:val="28"/>
        </w:rPr>
        <w:t>заявлений</w:t>
      </w:r>
      <w:r>
        <w:rPr>
          <w:rFonts w:ascii="PT Astra Serif" w:hAnsi="PT Astra Serif"/>
          <w:b w:val="1"/>
          <w:sz w:val="28"/>
        </w:rPr>
        <w:t xml:space="preserve"> и документов и (или) информации, </w:t>
      </w:r>
    </w:p>
    <w:p w14:paraId="D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предоставления Услуги</w:t>
      </w:r>
    </w:p>
    <w:p w14:paraId="D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3000000">
      <w:pPr>
        <w:pStyle w:val="Style_5"/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 запроса и перечень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D4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D5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D6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D7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D8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г) посредством Единого портала (при наличии технической возм</w:t>
      </w:r>
      <w:r>
        <w:rPr>
          <w:rFonts w:ascii="PT Astra Serif" w:hAnsi="PT Astra Serif"/>
          <w:spacing w:val="-6"/>
          <w:sz w:val="28"/>
        </w:rPr>
        <w:t>ожности)</w:t>
      </w:r>
      <w:r>
        <w:rPr>
          <w:rFonts w:ascii="PT Astra Serif" w:hAnsi="PT Astra Serif"/>
          <w:spacing w:val="-6"/>
          <w:sz w:val="28"/>
        </w:rPr>
        <w:t>;</w:t>
      </w:r>
    </w:p>
    <w:p w14:paraId="D9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д) </w:t>
      </w:r>
      <w:r>
        <w:rPr>
          <w:rFonts w:ascii="PT Astra Serif" w:hAnsi="PT Astra Serif"/>
          <w:sz w:val="28"/>
        </w:rPr>
        <w:t>МФЦ — документ, удостоверяющий личность</w:t>
      </w:r>
      <w:r>
        <w:rPr>
          <w:rFonts w:ascii="PT Astra Serif" w:hAnsi="PT Astra Serif"/>
          <w:spacing w:val="-6"/>
          <w:sz w:val="28"/>
        </w:rPr>
        <w:t>.</w:t>
      </w:r>
    </w:p>
    <w:p w14:paraId="DA000000">
      <w:pPr>
        <w:pStyle w:val="Style_5"/>
        <w:widowControl w:val="1"/>
        <w:numPr>
          <w:ilvl w:val="0"/>
          <w:numId w:val="3"/>
        </w:numPr>
        <w:tabs>
          <w:tab w:leader="none" w:pos="1134" w:val="left"/>
          <w:tab w:leader="none" w:pos="1276" w:val="left"/>
        </w:tabs>
        <w:spacing w:after="160"/>
        <w:ind w:firstLine="709" w:left="0"/>
        <w:jc w:val="both"/>
      </w:pP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и (или) информации приведены в таблице № 3 приложения к настоящему Административному регламенту.</w:t>
      </w:r>
    </w:p>
    <w:p w14:paraId="DB000000">
      <w:pPr>
        <w:widowControl w:val="1"/>
        <w:numPr>
          <w:ilvl w:val="0"/>
          <w:numId w:val="3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</w:t>
      </w:r>
      <w:r>
        <w:rPr>
          <w:rFonts w:ascii="PT Astra Serif" w:hAnsi="PT Astra Serif"/>
          <w:color w:val="000000"/>
          <w:sz w:val="28"/>
        </w:rPr>
        <w:t>нахождения (для юридических лиц)</w:t>
      </w:r>
      <w:r>
        <w:rPr>
          <w:rFonts w:ascii="PT Astra Serif" w:hAnsi="PT Astra Serif"/>
          <w:color w:val="000000"/>
          <w:sz w:val="28"/>
        </w:rPr>
        <w:t>.</w:t>
      </w:r>
    </w:p>
    <w:p w14:paraId="DC000000">
      <w:pPr>
        <w:widowControl w:val="1"/>
        <w:numPr>
          <w:ilvl w:val="0"/>
          <w:numId w:val="3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Срок регистрации заявления и документов и (или), необходимых для предоставления Услуги, составляет 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рабочи</w:t>
      </w:r>
      <w:r>
        <w:rPr>
          <w:rFonts w:ascii="PT Astra Serif" w:hAnsi="PT Astra Serif"/>
          <w:color w:val="000000"/>
          <w:sz w:val="28"/>
        </w:rPr>
        <w:t>й</w:t>
      </w:r>
      <w:r>
        <w:rPr>
          <w:rFonts w:ascii="PT Astra Serif" w:hAnsi="PT Astra Serif"/>
          <w:color w:val="000000"/>
          <w:sz w:val="28"/>
        </w:rPr>
        <w:t xml:space="preserve"> д</w:t>
      </w:r>
      <w:r>
        <w:rPr>
          <w:rFonts w:ascii="PT Astra Serif" w:hAnsi="PT Astra Serif"/>
          <w:color w:val="000000"/>
          <w:sz w:val="28"/>
        </w:rPr>
        <w:t>ень</w:t>
      </w:r>
      <w:r>
        <w:rPr>
          <w:rFonts w:ascii="PT Astra Serif" w:hAnsi="PT Astra Serif"/>
          <w:color w:val="000000"/>
          <w:sz w:val="28"/>
        </w:rPr>
        <w:t>.</w:t>
      </w:r>
    </w:p>
    <w:p w14:paraId="D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D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D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0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</w:t>
      </w:r>
      <w:r>
        <w:rPr>
          <w:rFonts w:ascii="PT Astra Serif" w:hAnsi="PT Astra Serif"/>
          <w:color w:val="000000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E1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14:paraId="E2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в Федеральную налоговую службу – выписка из ЕГРЮЛ,</w:t>
      </w:r>
    </w:p>
    <w:p w14:paraId="E3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запрос   направляется в течение 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рабоч</w:t>
      </w:r>
      <w:r>
        <w:rPr>
          <w:rFonts w:ascii="PT Astra Serif" w:hAnsi="PT Astra Serif"/>
          <w:color w:val="000000"/>
          <w:sz w:val="28"/>
        </w:rPr>
        <w:t>его</w:t>
      </w:r>
      <w:r>
        <w:rPr>
          <w:rFonts w:ascii="PT Astra Serif" w:hAnsi="PT Astra Serif"/>
          <w:color w:val="000000"/>
          <w:sz w:val="28"/>
        </w:rPr>
        <w:t xml:space="preserve"> дн</w:t>
      </w:r>
      <w:r>
        <w:rPr>
          <w:rFonts w:ascii="PT Astra Serif" w:hAnsi="PT Astra Serif"/>
          <w:color w:val="000000"/>
          <w:sz w:val="28"/>
        </w:rPr>
        <w:t>я</w:t>
      </w:r>
      <w:r>
        <w:rPr>
          <w:rFonts w:ascii="PT Astra Serif" w:hAnsi="PT Astra Serif"/>
          <w:color w:val="000000"/>
          <w:sz w:val="28"/>
        </w:rPr>
        <w:t xml:space="preserve"> со дня регистрации заявления и документов, необходимых для предоставления Услуги.</w:t>
      </w:r>
    </w:p>
    <w:p w14:paraId="E4000000">
      <w:pPr>
        <w:pStyle w:val="Style_5"/>
        <w:widowControl w:val="1"/>
        <w:numPr>
          <w:ilvl w:val="0"/>
          <w:numId w:val="4"/>
        </w:numPr>
        <w:tabs>
          <w:tab w:leader="none" w:pos="1276" w:val="left"/>
        </w:tabs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color w:val="000000"/>
          <w:sz w:val="28"/>
        </w:rPr>
        <w:t>.</w:t>
      </w:r>
    </w:p>
    <w:p w14:paraId="E5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</w:rPr>
      </w:pPr>
    </w:p>
    <w:p w14:paraId="E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E7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E8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E9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>38</w:t>
      </w:r>
      <w:r>
        <w:rPr>
          <w:rFonts w:ascii="PT Astra Serif" w:hAnsi="PT Astra Serif"/>
          <w:color w:val="000000"/>
          <w:spacing w:val="-4"/>
          <w:sz w:val="28"/>
        </w:rPr>
        <w:t>.</w:t>
      </w:r>
      <w:r>
        <w:rPr>
          <w:rFonts w:ascii="PT Astra Serif" w:hAnsi="PT Astra Serif"/>
          <w:color w:val="000000"/>
          <w:spacing w:val="-4"/>
          <w:sz w:val="28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color w:val="000000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EA000000">
      <w:pPr>
        <w:widowControl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</w:t>
      </w:r>
      <w:r>
        <w:rPr>
          <w:rFonts w:ascii="PT Astra Serif" w:hAnsi="PT Astra Serif"/>
          <w:color w:val="000000"/>
          <w:sz w:val="28"/>
        </w:rPr>
        <w:t>.1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Основания для отказа в предоставлении Услуги приведены в Приложении таблица №3 к Административному регламенту</w:t>
      </w:r>
      <w:r>
        <w:rPr>
          <w:rFonts w:ascii="PT Astra Serif" w:hAnsi="PT Astra Serif"/>
          <w:color w:val="000000"/>
          <w:sz w:val="28"/>
        </w:rPr>
        <w:t>.</w:t>
      </w:r>
    </w:p>
    <w:p w14:paraId="EB000000">
      <w:pPr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E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F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39</w:t>
      </w:r>
      <w:r>
        <w:rPr>
          <w:rFonts w:ascii="PT Astra Serif" w:hAnsi="PT Astra Serif"/>
          <w:color w:val="000000"/>
          <w:sz w:val="28"/>
        </w:rPr>
        <w:t>. Способы получения результата предоставления Услуги:</w:t>
      </w:r>
    </w:p>
    <w:p w14:paraId="F0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 при личном обращении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 в виде документа  на бумажном носителе;</w:t>
      </w:r>
    </w:p>
    <w:p w14:paraId="F1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F2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 посредством почтовой связи – в виде документов на бумажном носителе;</w:t>
      </w:r>
    </w:p>
    <w:p w14:paraId="F3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г)  посредством электронной почты – в форме электронного документа</w:t>
      </w:r>
      <w:r>
        <w:rPr>
          <w:rFonts w:ascii="PT Astra Serif" w:hAnsi="PT Astra Serif"/>
          <w:color w:val="000000"/>
          <w:sz w:val="28"/>
        </w:rPr>
        <w:t>;</w:t>
      </w:r>
    </w:p>
    <w:p w14:paraId="F4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д) </w:t>
      </w:r>
      <w:r>
        <w:rPr>
          <w:rFonts w:ascii="PT Astra Serif" w:hAnsi="PT Astra Serif"/>
          <w:sz w:val="28"/>
        </w:rPr>
        <w:t>в МФЦ  — документ на бумажном носителе</w:t>
      </w:r>
      <w:r>
        <w:rPr>
          <w:rFonts w:ascii="PT Astra Serif" w:hAnsi="PT Astra Serif"/>
          <w:color w:val="000000"/>
          <w:sz w:val="28"/>
        </w:rPr>
        <w:t>.</w:t>
      </w:r>
    </w:p>
    <w:p w14:paraId="F5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40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F6000000">
      <w:pPr>
        <w:pStyle w:val="Style_5"/>
        <w:widowControl w:val="1"/>
        <w:numPr>
          <w:ilvl w:val="0"/>
          <w:numId w:val="5"/>
        </w:numPr>
        <w:tabs>
          <w:tab w:leader="none" w:pos="1276" w:val="left"/>
        </w:tabs>
        <w:ind w:firstLine="709" w:left="0"/>
        <w:jc w:val="both"/>
      </w:pPr>
      <w:r>
        <w:rPr>
          <w:rFonts w:ascii="PT Astra Serif" w:hAnsi="PT Astra Serif"/>
          <w:sz w:val="28"/>
        </w:rPr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</w:t>
      </w:r>
      <w:r>
        <w:rPr>
          <w:rStyle w:val="Style_4_ch"/>
          <w:rFonts w:ascii="PT Astra Serif" w:hAnsi="PT Astra Serif"/>
          <w:sz w:val="28"/>
        </w:rPr>
        <w:t xml:space="preserve">ния (для юридических лиц) </w:t>
      </w:r>
      <w:r>
        <w:rPr>
          <w:rFonts w:ascii="PT Astra Serif" w:hAnsi="PT Astra Serif"/>
          <w:sz w:val="28"/>
        </w:rPr>
        <w:t>при обращении в МФЦ или посредством Единого портала.</w:t>
      </w:r>
    </w:p>
    <w:p w14:paraId="F7000000">
      <w:pPr>
        <w:pStyle w:val="Style_5"/>
        <w:widowControl w:val="1"/>
        <w:numPr>
          <w:ilvl w:val="0"/>
          <w:numId w:val="5"/>
        </w:numPr>
        <w:tabs>
          <w:tab w:leader="none" w:pos="1276" w:val="left"/>
        </w:tabs>
        <w:ind w:firstLine="709" w:left="0"/>
        <w:jc w:val="both"/>
      </w:pPr>
      <w:r>
        <w:rPr>
          <w:rStyle w:val="Style_4_ch"/>
          <w:rFonts w:ascii="PT Astra Serif" w:hAnsi="PT Astra Serif"/>
          <w:sz w:val="28"/>
        </w:rPr>
        <w:t xml:space="preserve">Заявителю предлагается оценить удобство процесса получения Услуги путем прохождения опроса, размещенного на официальном сайте Органа власти в </w:t>
      </w:r>
      <w:r>
        <w:rPr>
          <w:rFonts w:ascii="PT Astra Serif" w:hAnsi="PT Astra Serif"/>
          <w:sz w:val="28"/>
        </w:rPr>
        <w:t>информационно-телекоммуникационной сети</w:t>
      </w:r>
      <w:r>
        <w:rPr>
          <w:rStyle w:val="Style_4_ch"/>
          <w:rFonts w:ascii="PT Astra Serif" w:hAnsi="PT Astra Serif"/>
          <w:sz w:val="28"/>
        </w:rPr>
        <w:t xml:space="preserve"> «Интернет».</w:t>
      </w:r>
    </w:p>
    <w:p w14:paraId="F8000000">
      <w:pPr>
        <w:widowControl w:val="1"/>
        <w:tabs>
          <w:tab w:leader="none" w:pos="158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F9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4_ch"/>
          <w:rFonts w:ascii="PT Astra Serif" w:hAnsi="PT Astra Serif"/>
          <w:color w:val="000000"/>
        </w:rPr>
      </w:pPr>
    </w:p>
    <w:p w14:paraId="F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</w:t>
      </w:r>
      <w:r>
        <w:rPr>
          <w:rFonts w:ascii="PT Astra Serif" w:hAnsi="PT Astra Serif"/>
          <w:b w:val="1"/>
          <w:color w:val="000000"/>
          <w:sz w:val="28"/>
        </w:rPr>
        <w:t>. Предоставление Услуги в упреждающем (проактивном) режиме</w:t>
      </w:r>
    </w:p>
    <w:p w14:paraId="FB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4_ch"/>
          <w:rFonts w:ascii="PT Astra Serif" w:hAnsi="PT Astra Serif"/>
          <w:color w:val="000000"/>
          <w:sz w:val="28"/>
        </w:rPr>
      </w:pPr>
    </w:p>
    <w:p w14:paraId="FC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Style w:val="Style_4_ch"/>
          <w:rFonts w:ascii="PT Astra Serif" w:hAnsi="PT Astra Serif"/>
          <w:color w:val="000000"/>
          <w:sz w:val="28"/>
        </w:rPr>
        <w:t>43</w:t>
      </w:r>
      <w:r>
        <w:rPr>
          <w:rStyle w:val="Style_4_ch"/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Проактивный режим для Услуги не предусмотрен</w:t>
      </w:r>
      <w:r>
        <w:rPr>
          <w:rStyle w:val="Style_4_ch"/>
          <w:rFonts w:ascii="PT Astra Serif" w:hAnsi="PT Astra Serif"/>
          <w:color w:val="000000"/>
          <w:sz w:val="28"/>
        </w:rPr>
        <w:t>.</w:t>
      </w:r>
    </w:p>
    <w:p w14:paraId="FD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F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Способы информирования заявителя об изменении </w:t>
      </w:r>
    </w:p>
    <w:p w14:paraId="F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статуса рассмотрения запроса о предоставлении муниципальной услуги </w:t>
      </w:r>
    </w:p>
    <w:p w14:paraId="00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0101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44</w:t>
      </w: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>. Перечень способов информирования заявителя об изменении статуса рассмотрения запроса:</w:t>
      </w:r>
    </w:p>
    <w:p w14:paraId="02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посредством Единого портала;</w:t>
      </w:r>
    </w:p>
    <w:p w14:paraId="0301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б) посредством телефонной связи.</w:t>
      </w:r>
    </w:p>
    <w:p w14:paraId="0401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</w:rPr>
      </w:pPr>
    </w:p>
    <w:p w14:paraId="0501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</w:t>
      </w:r>
    </w:p>
    <w:p w14:paraId="0601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</w:p>
    <w:p w14:paraId="0701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</w:p>
    <w:p w14:paraId="08010000">
      <w:pPr>
        <w:sectPr>
          <w:headerReference r:id="rId2" w:type="default"/>
          <w:pgSz w:h="16838" w:orient="portrait" w:w="11906"/>
          <w:pgMar w:bottom="1134" w:footer="0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566"/>
      </w:tblGrid>
      <w:tr>
        <w:trPr>
          <w:trHeight w:hRule="atLeast" w:val="1084"/>
        </w:trPr>
        <w:tc>
          <w:tcPr>
            <w:tcW w:type="dxa" w:w="45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Приложение </w:t>
            </w:r>
          </w:p>
          <w:p w14:paraId="0A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</w:t>
            </w:r>
          </w:p>
          <w:p w14:paraId="0B010000">
            <w:pPr>
              <w:widowControl w:val="0"/>
              <w:ind/>
              <w:jc w:val="center"/>
              <w:rPr>
                <w:rStyle w:val="Style_4_ch"/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предоставления муниципальной ус</w:t>
            </w: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 xml:space="preserve">луги </w:t>
            </w:r>
          </w:p>
          <w:p w14:paraId="0C010000">
            <w:pPr>
              <w:widowControl w:val="0"/>
              <w:ind/>
              <w:jc w:val="center"/>
              <w:rPr>
                <w:rStyle w:val="Style_4_ch"/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>«</w:t>
            </w: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 xml:space="preserve">Направление уведомления </w:t>
            </w:r>
          </w:p>
          <w:p w14:paraId="0D010000">
            <w:pPr>
              <w:widowControl w:val="0"/>
              <w:ind/>
              <w:jc w:val="center"/>
              <w:rPr>
                <w:rStyle w:val="Style_4_ch"/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 xml:space="preserve">о планируемых строительстве </w:t>
            </w:r>
          </w:p>
          <w:p w14:paraId="0E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>или реконструкции объекта индивидуального жилищного строительства или садового дома</w:t>
            </w: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 xml:space="preserve">» </w:t>
            </w:r>
          </w:p>
        </w:tc>
      </w:tr>
    </w:tbl>
    <w:p w14:paraId="0F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1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</w:t>
      </w:r>
    </w:p>
    <w:p w14:paraId="1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</w:t>
      </w:r>
    </w:p>
    <w:p w14:paraId="1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предоставлении муниципальной услуги и документов, </w:t>
      </w:r>
    </w:p>
    <w:p w14:paraId="1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необходимых для предоставления муниципальной услуги, </w:t>
      </w:r>
    </w:p>
    <w:p w14:paraId="1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оснований для приостановления предоставления муниципальной </w:t>
      </w:r>
    </w:p>
    <w:p w14:paraId="1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услуги или отказа в предоставлении муниципальной услуги, </w:t>
      </w:r>
    </w:p>
    <w:p w14:paraId="16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формы запросов о предоставлении муниципальной услуги</w:t>
      </w:r>
    </w:p>
    <w:p w14:paraId="1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18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Перечень условных обозначений и сокращений</w:t>
      </w:r>
    </w:p>
    <w:p w14:paraId="19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1A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  <w:highlight w:val="white"/>
        </w:rPr>
        <w:t>ЕПГУ</w:t>
      </w:r>
      <w:r>
        <w:rPr>
          <w:rFonts w:ascii="PT Astra Serif" w:hAnsi="PT Astra Serif"/>
          <w:b w:val="1"/>
          <w:color w:val="00000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— федеральная государственная информационная система «Единый портал государственных и</w:t>
      </w:r>
      <w:r>
        <w:rPr>
          <w:rFonts w:ascii="PT Astra Serif" w:hAnsi="PT Astra Serif"/>
          <w:color w:val="000000"/>
          <w:sz w:val="28"/>
        </w:rPr>
        <w:t xml:space="preserve"> муниципальных услуг (функций)»</w:t>
      </w:r>
      <w:r>
        <w:rPr>
          <w:rFonts w:ascii="PT Astra Serif" w:hAnsi="PT Astra Serif"/>
          <w:color w:val="000000"/>
          <w:sz w:val="28"/>
        </w:rPr>
        <w:t>;</w:t>
      </w:r>
    </w:p>
    <w:p w14:paraId="1B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РПГУ — региональный портал государственных и муниципальных услуг, государственная региональная информационная система (</w:t>
      </w:r>
      <w:r>
        <w:rPr>
          <w:rFonts w:ascii="PT Astra Serif" w:hAnsi="PT Astra Serif"/>
          <w:color w:val="000000"/>
          <w:sz w:val="28"/>
          <w:highlight w:val="white"/>
        </w:rPr>
        <w:t>позволяет заполнить форму заявления в электронном виде и получить результат, не выходя из дома или при посещении МФЦ)</w:t>
      </w:r>
      <w:r>
        <w:rPr>
          <w:rFonts w:ascii="PT Astra Serif" w:hAnsi="PT Astra Serif"/>
          <w:color w:val="000000"/>
          <w:sz w:val="28"/>
          <w:highlight w:val="white"/>
        </w:rPr>
        <w:t>;</w:t>
      </w:r>
    </w:p>
    <w:p w14:paraId="1C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— муниципальная услуга</w:t>
      </w:r>
      <w:r>
        <w:rPr>
          <w:rStyle w:val="Style_4_ch"/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  <w:r>
        <w:rPr>
          <w:rFonts w:ascii="PT Astra Serif" w:hAnsi="PT Astra Serif"/>
          <w:color w:val="000000"/>
          <w:sz w:val="28"/>
        </w:rPr>
        <w:t>;</w:t>
      </w:r>
    </w:p>
    <w:p w14:paraId="1D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Style w:val="Style_4_ch"/>
          <w:rFonts w:ascii="PT Astra Serif" w:hAnsi="PT Astra Serif"/>
          <w:color w:val="000000"/>
          <w:sz w:val="28"/>
        </w:rPr>
        <w:t>Административный регламент — административный регламент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  <w:r>
        <w:rPr>
          <w:rStyle w:val="Style_4_ch"/>
          <w:rFonts w:ascii="PT Astra Serif" w:hAnsi="PT Astra Serif"/>
          <w:color w:val="000000"/>
          <w:sz w:val="28"/>
        </w:rPr>
        <w:t>»;</w:t>
      </w:r>
    </w:p>
    <w:p w14:paraId="1E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1F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Администрация</w:t>
      </w:r>
      <w:r>
        <w:rPr>
          <w:rFonts w:ascii="PT Astra Serif" w:hAnsi="PT Astra Serif"/>
          <w:color w:val="000000"/>
          <w:sz w:val="28"/>
        </w:rPr>
        <w:t xml:space="preserve"> —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администрация муниципального образования Щекинский район</w:t>
      </w:r>
      <w:r>
        <w:rPr>
          <w:rFonts w:ascii="PT Astra Serif" w:hAnsi="PT Astra Serif"/>
          <w:color w:val="000000"/>
          <w:sz w:val="28"/>
        </w:rPr>
        <w:t>;</w:t>
      </w:r>
    </w:p>
    <w:p w14:paraId="20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ГрК РФ — Градостроительный кодекс Российской Федерации;</w:t>
      </w:r>
    </w:p>
    <w:p w14:paraId="21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— заявление о предоставлении муниципальной услуги;</w:t>
      </w:r>
    </w:p>
    <w:p w14:paraId="22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23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  <w:color w:val="000000"/>
        </w:rPr>
        <w:br w:type="page"/>
      </w:r>
    </w:p>
    <w:p w14:paraId="24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Идентификаторы категорий (признаков) заявителей</w:t>
      </w:r>
    </w:p>
    <w:p w14:paraId="25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26010000">
      <w:pPr>
        <w:widowControl w:val="1"/>
        <w:ind w:firstLine="709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1</w:t>
      </w:r>
    </w:p>
    <w:p w14:paraId="2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4005"/>
        <w:gridCol w:w="2977"/>
        <w:gridCol w:w="862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№ </w:t>
            </w:r>
          </w:p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Признак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Значения признака заявителя 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843"/>
        </w:trPr>
        <w:tc>
          <w:tcPr>
            <w:tcW w:type="dxa" w:w="934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Результат муниципальной услу</w:t>
            </w:r>
            <w:r>
              <w:rPr>
                <w:rStyle w:val="Style_4_ch"/>
                <w:rFonts w:ascii="PT Astra Serif" w:hAnsi="PT Astra Serif"/>
                <w:color w:val="000000"/>
                <w:sz w:val="24"/>
              </w:rPr>
              <w:t>ги «Выдача градостроительного плана земельного участка»</w:t>
            </w:r>
          </w:p>
        </w:tc>
        <w:tc>
          <w:tcPr>
            <w:tcW w:type="dxa" w:w="862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 Физическое лицо,  в том числе индивидуальный предприниматель</w:t>
            </w:r>
          </w:p>
          <w:p w14:paraId="32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3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4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2. Юридическое лицо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C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D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E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F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40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Категория заявителя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 Уполномоченный представитель</w:t>
            </w:r>
          </w:p>
          <w:p w14:paraId="44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45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46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47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</w:t>
            </w:r>
          </w:p>
          <w:p w14:paraId="4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14:paraId="4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C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D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E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F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0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1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2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3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4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5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6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7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8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9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A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C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D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E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5F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60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61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Исчерпывающий перечень документов, </w:t>
      </w:r>
    </w:p>
    <w:p w14:paraId="62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6301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64010000">
      <w:pPr>
        <w:widowControl w:val="0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2</w:t>
      </w:r>
    </w:p>
    <w:p w14:paraId="65010000">
      <w:pPr>
        <w:widowControl w:val="1"/>
        <w:ind w:left="6237"/>
        <w:outlineLvl w:val="0"/>
        <w:rPr>
          <w:rFonts w:ascii="PT Astra Serif" w:hAnsi="PT Astra Serif"/>
          <w:color w:val="000000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992"/>
        <w:gridCol w:w="3544"/>
        <w:gridCol w:w="1842"/>
        <w:gridCol w:w="2552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</w:t>
            </w:r>
            <w:r>
              <w:rPr>
                <w:rFonts w:ascii="PT Astra Serif" w:hAnsi="PT Astra Serif"/>
                <w:b w:val="1"/>
                <w:color w:val="000000"/>
              </w:rPr>
              <w:t>-</w:t>
            </w:r>
            <w:r>
              <w:rPr>
                <w:rFonts w:ascii="PT Astra Serif" w:hAnsi="PT Astra Serif"/>
                <w:b w:val="1"/>
                <w:color w:val="000000"/>
              </w:rPr>
              <w:t>торы категорий (признаков) заявителей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Примечание</w:t>
            </w: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4_ch"/>
                <w:rFonts w:ascii="PT Astra Serif" w:hAnsi="PT Astra Serif"/>
                <w:color w:val="000000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самостоятельно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либо 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7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7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-оригинал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Которое должно содержать следующие сведения:</w:t>
            </w:r>
          </w:p>
          <w:p w14:paraId="7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 фамилию,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14:paraId="74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14:paraId="7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в) кадастровый номер земельного участка (при его наличии), адрес или описание местоположения земельного участка;</w:t>
            </w:r>
          </w:p>
          <w:p w14:paraId="76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14:paraId="7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14:paraId="7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планируемых строительстве, в том числе об отступах от границ земельного участка;</w:t>
            </w:r>
          </w:p>
          <w:p w14:paraId="7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ж)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14:paraId="7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з) почтовый адрес и (или) адрес электронной почты для связи с застройщиком;</w:t>
            </w:r>
          </w:p>
          <w:p w14:paraId="7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и) способ направления застройщику уведомления.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14:paraId="7F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  <w:p w14:paraId="80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доверенность, подписанная усиленной квалифицированной электронной подписью или  скан-образ документа;</w:t>
            </w:r>
          </w:p>
          <w:p w14:paraId="8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МФЦ– копия документа;</w:t>
            </w:r>
          </w:p>
          <w:p w14:paraId="83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84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8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</w:t>
            </w:r>
            <w:r>
              <w:rPr>
                <w:rFonts w:ascii="PT Astra Serif" w:hAnsi="PT Astra Serif"/>
                <w:color w:val="000000"/>
              </w:rPr>
              <w:t xml:space="preserve"> или копия документа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8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  <w:color w:val="000000"/>
              </w:rPr>
              <w:t>оригинал</w:t>
            </w:r>
            <w:r>
              <w:rPr>
                <w:rFonts w:ascii="PT Astra Serif" w:hAnsi="PT Astra Serif"/>
                <w:color w:val="000000"/>
              </w:rPr>
              <w:t xml:space="preserve"> или копия документа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</w:rPr>
              <w:t>-В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случая, предусмотренного частью 5 статьи 51.1 Градостроительного кодекса Российской Федерации. </w:t>
            </w:r>
          </w:p>
          <w:p w14:paraId="9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9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– </w:t>
            </w:r>
            <w:r>
              <w:rPr>
                <w:rFonts w:ascii="PT Astra Serif" w:hAnsi="PT Astra Serif"/>
                <w:color w:val="000000"/>
              </w:rPr>
              <w:t>оригинал или копия документа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9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</w:t>
            </w:r>
            <w:r>
              <w:rPr>
                <w:rFonts w:ascii="PT Astra Serif" w:hAnsi="PT Astra Serif"/>
                <w:color w:val="000000"/>
              </w:rPr>
              <w:t xml:space="preserve"> оригинал или копия документа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4_ch"/>
                <w:rFonts w:ascii="PT Astra Serif" w:hAnsi="PT Astra Serif"/>
                <w:color w:val="000000"/>
              </w:rPr>
              <w:t xml:space="preserve">тами </w:t>
            </w:r>
            <w:r>
              <w:rPr>
                <w:rStyle w:val="Style_4_ch"/>
                <w:rFonts w:ascii="PT Astra Serif" w:hAnsi="PT Astra Serif"/>
                <w:b w:val="1"/>
                <w:color w:val="000000"/>
              </w:rPr>
              <w:t xml:space="preserve"> </w:t>
            </w:r>
            <w:r>
              <w:rPr>
                <w:rStyle w:val="Style_4_ch"/>
                <w:rFonts w:ascii="PT Astra Serif" w:hAnsi="PT Astra Serif"/>
                <w:color w:val="000000"/>
              </w:rPr>
              <w:t>для 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>, к</w:t>
            </w:r>
            <w:r>
              <w:rPr>
                <w:rFonts w:ascii="PT Astra Serif" w:hAnsi="PT Astra Serif"/>
                <w:b w:val="1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  <w:color w:val="00000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>
        <w:trPr>
          <w:trHeight w:hRule="atLeast" w:val="1566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скан-образ документа;</w:t>
            </w:r>
          </w:p>
          <w:p w14:paraId="9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–копия документа;</w:t>
            </w:r>
          </w:p>
          <w:p w14:paraId="9B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–копия документа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9D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9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9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A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IV. Исчерпывающий перечень оснований</w:t>
      </w:r>
    </w:p>
    <w:p w14:paraId="A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отказа в приеме запроса и документов, необходимых</w:t>
      </w:r>
    </w:p>
    <w:p w14:paraId="A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муниципальной услуги, оснований </w:t>
      </w:r>
    </w:p>
    <w:p w14:paraId="A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приостановления предоставления муниципальной услуги </w:t>
      </w:r>
    </w:p>
    <w:p w14:paraId="A4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или отказа в предоставлении муниципальной услуги</w:t>
      </w:r>
    </w:p>
    <w:p w14:paraId="A501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A6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3</w:t>
      </w:r>
    </w:p>
    <w:p w14:paraId="A7010000">
      <w:pPr>
        <w:widowControl w:val="1"/>
        <w:ind/>
        <w:jc w:val="both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753"/>
        <w:gridCol w:w="1985"/>
      </w:tblGrid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  <w:p w14:paraId="A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п/п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Перечень оснований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Идентификатор категорий (признаков) заявителей</w:t>
            </w:r>
          </w:p>
        </w:tc>
      </w:tr>
      <w:tr>
        <w:trPr>
          <w:trHeight w:hRule="atLeast" w:val="489"/>
        </w:trP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4_ch"/>
                <w:rFonts w:ascii="PT Astra Serif" w:hAnsi="PT Astra Serif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4_ch"/>
                <w:rFonts w:ascii="PT Astra Serif" w:hAnsi="PT Astra Serif"/>
              </w:rPr>
              <w:t>Представление заявления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4_ch"/>
                <w:rFonts w:ascii="PT Astra Serif" w:hAnsi="PT Astra Serif"/>
              </w:rPr>
              <w:t xml:space="preserve"> Отсутствие в уведомлении о планируемом строительстве сведений, предусмотренных частью 1 статьи 51.1 ГрК РФ, или документов, предусмотренных пунктами 2 - 4 части 3 статьи 51.1 ГрК РФ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4_ch"/>
                <w:rFonts w:ascii="PT Astra Serif" w:hAnsi="PT Astra Serif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Исчерпывающий перечень оснований для отказа в </w:t>
            </w:r>
            <w:r>
              <w:rPr>
                <w:rFonts w:ascii="PT Astra Serif" w:hAnsi="PT Astra Serif"/>
                <w:b w:val="1"/>
                <w:color w:val="000000"/>
              </w:rPr>
              <w:t>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уведомление о планируемом строительстве, уведомление об изменении параметров поданы или направлены лицом, не являющимся застройщиком в связи с отсутствием у него прав на земельный участок;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срок, указанный в части 9 статьи 51.1 Градостроительного кодекса Российской Федерации, от инспекции Тульской области по государственной охране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Основания для приостановления предоставления услуги законодательством </w:t>
            </w:r>
          </w:p>
          <w:p w14:paraId="C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Российской Федерации не предусмотрены</w:t>
            </w:r>
          </w:p>
        </w:tc>
      </w:tr>
    </w:tbl>
    <w:p w14:paraId="CE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CF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0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1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2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3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4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5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6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7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8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9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A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C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D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E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F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0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1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2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3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4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5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6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7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8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9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A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EC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</w:t>
      </w:r>
      <w:r>
        <w:rPr>
          <w:rFonts w:ascii="PT Astra Serif" w:hAnsi="PT Astra Serif"/>
          <w:b w:val="1"/>
          <w:color w:val="000000"/>
          <w:sz w:val="28"/>
        </w:rPr>
        <w:t>Форм</w:t>
      </w:r>
      <w:r>
        <w:rPr>
          <w:rFonts w:ascii="PT Astra Serif" w:hAnsi="PT Astra Serif"/>
          <w:b w:val="1"/>
          <w:color w:val="000000"/>
          <w:sz w:val="28"/>
        </w:rPr>
        <w:t>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результата</w:t>
      </w:r>
      <w:r>
        <w:rPr>
          <w:rFonts w:ascii="PT Astra Serif" w:hAnsi="PT Astra Serif"/>
          <w:b w:val="1"/>
          <w:color w:val="000000"/>
          <w:sz w:val="28"/>
        </w:rPr>
        <w:t xml:space="preserve"> предоставлени</w:t>
      </w:r>
      <w:r>
        <w:rPr>
          <w:rFonts w:ascii="PT Astra Serif" w:hAnsi="PT Astra Serif"/>
          <w:b w:val="1"/>
          <w:color w:val="000000"/>
          <w:sz w:val="28"/>
        </w:rPr>
        <w:t>я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</w:t>
      </w:r>
    </w:p>
    <w:p w14:paraId="ED01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Форма </w:t>
      </w:r>
    </w:p>
    <w:p w14:paraId="EE010000">
      <w:pPr>
        <w:rPr>
          <w:rFonts w:ascii="PT Astra Serif" w:hAnsi="PT Astra Serif"/>
        </w:rPr>
      </w:pPr>
    </w:p>
    <w:p w14:paraId="EF01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8"/>
              <w:keepNext w:val="1"/>
              <w:widowControl w:val="0"/>
              <w:spacing w:after="57"/>
              <w:ind/>
              <w:jc w:val="center"/>
            </w:pPr>
            <w:r>
              <w:t>Администрация муниципального образования Щекинский район</w:t>
            </w:r>
          </w:p>
          <w:p w14:paraId="F1010000">
            <w:pPr>
              <w:pStyle w:val="Style_8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Щекино, пл. Ленина, д. 1, тел. (48751) 5-26-72, </w:t>
            </w:r>
            <w:r>
              <w:rPr>
                <w:sz w:val="20"/>
              </w:rPr>
              <w:t>ased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mo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schekino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tularegion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8"/>
              <w:keepNext w:val="1"/>
              <w:widowControl w:val="0"/>
              <w:ind/>
              <w:jc w:val="center"/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>уполномоченного</w:t>
            </w:r>
            <w:r>
              <w:rPr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F301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4010000">
            <w:pPr>
              <w:pStyle w:val="Style_8"/>
              <w:keepNext w:val="1"/>
              <w:keepLines w:val="1"/>
              <w:widowControl w:val="0"/>
              <w:ind/>
            </w:pPr>
            <w: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10000">
            <w:pPr>
              <w:pStyle w:val="Style_8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6010000">
            <w:pPr>
              <w:pStyle w:val="Style_8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F7010000">
            <w:pPr>
              <w:pStyle w:val="Style_8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8010000">
            <w:pPr>
              <w:pStyle w:val="Style_8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pStyle w:val="Style_8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A010000">
            <w:pPr>
              <w:pStyle w:val="Style_8"/>
              <w:keepNext w:val="1"/>
              <w:keepLines w:val="1"/>
              <w:widowControl w:val="0"/>
              <w:ind/>
              <w:rPr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FB010000">
            <w:pPr>
              <w:pStyle w:val="Style_8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FC01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FD01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Уведомление о несоответствии указанных в уведомлении о планируемых строительстве ил реконструкции объектов индивидуального жилищного строительства или садового дома параметров объектов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FE01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</w:p>
    <w:p w14:paraId="FF010000">
      <w:pPr>
        <w:widowControl w:val="1"/>
        <w:tabs>
          <w:tab w:leader="none" w:pos="2940" w:val="left"/>
        </w:tabs>
        <w:ind/>
        <w:rPr>
          <w:sz w:val="22"/>
        </w:rPr>
      </w:pPr>
      <w:r>
        <w:rPr>
          <w:sz w:val="22"/>
        </w:rPr>
        <w:t>Дата                                                                                                                                          № </w:t>
      </w:r>
    </w:p>
    <w:p w14:paraId="0002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01020000">
      <w:pPr>
        <w:widowControl w:val="1"/>
        <w:ind w:firstLine="709"/>
        <w:jc w:val="both"/>
        <w:rPr>
          <w:sz w:val="28"/>
        </w:rPr>
      </w:pPr>
      <w:bookmarkStart w:id="2" w:name="__DdeLink__121_4130611425"/>
      <w:r>
        <w:rPr>
          <w:sz w:val="28"/>
        </w:rPr>
        <w:t xml:space="preserve">По результатам рассмотрения </w:t>
      </w:r>
      <w:r>
        <w:rPr>
          <w:sz w:val="28"/>
        </w:rPr>
        <w:t>планируемых строительс</w:t>
      </w:r>
      <w:r>
        <w:rPr>
          <w:sz w:val="28"/>
        </w:rPr>
        <w:t xml:space="preserve">тве или </w:t>
      </w:r>
      <w:r>
        <w:rPr>
          <w:sz w:val="28"/>
        </w:rPr>
        <w:t>реконструкции  объекта  индивидуального  жилищного   строительства    или</w:t>
      </w:r>
    </w:p>
    <w:p w14:paraId="02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садового дома или уведомления об изменении параметров </w:t>
      </w:r>
      <w:r>
        <w:rPr>
          <w:sz w:val="28"/>
        </w:rPr>
        <w:t>планируемого</w:t>
      </w:r>
      <w:r>
        <w:rPr>
          <w:sz w:val="28"/>
        </w:rPr>
        <w:t xml:space="preserve"> строительства или реконструкции объекта индивидуально</w:t>
      </w:r>
      <w:r>
        <w:rPr>
          <w:sz w:val="28"/>
        </w:rPr>
        <w:t xml:space="preserve">  жилищного</w:t>
      </w:r>
      <w:r>
        <w:rPr>
          <w:sz w:val="28"/>
        </w:rPr>
        <w:t xml:space="preserve"> </w:t>
      </w:r>
      <w:r>
        <w:rPr>
          <w:sz w:val="28"/>
        </w:rPr>
        <w:t>строительства или садового дома</w:t>
      </w:r>
      <w:r>
        <w:rPr>
          <w:sz w:val="28"/>
        </w:rPr>
        <w:t>.</w:t>
      </w:r>
    </w:p>
    <w:p w14:paraId="03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04020000">
      <w:pPr>
        <w:widowControl w:val="1"/>
        <w:ind/>
        <w:jc w:val="both"/>
        <w:rPr>
          <w:sz w:val="28"/>
        </w:rPr>
      </w:pPr>
      <w:r>
        <w:rPr>
          <w:sz w:val="28"/>
        </w:rPr>
        <w:t>Направленного</w:t>
      </w:r>
      <w:r>
        <w:rPr>
          <w:sz w:val="28"/>
        </w:rPr>
        <w:t xml:space="preserve"> ____________________________________</w:t>
      </w:r>
    </w:p>
    <w:p w14:paraId="05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(дата направления уведомления</w:t>
      </w:r>
    </w:p>
    <w:p w14:paraId="06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07020000">
      <w:pPr>
        <w:widowControl w:val="1"/>
        <w:ind/>
        <w:jc w:val="both"/>
        <w:rPr>
          <w:sz w:val="28"/>
        </w:rPr>
      </w:pPr>
      <w:r>
        <w:rPr>
          <w:sz w:val="28"/>
        </w:rPr>
        <w:t>Зарегистрированного</w:t>
      </w:r>
      <w:r>
        <w:rPr>
          <w:sz w:val="28"/>
        </w:rPr>
        <w:t xml:space="preserve"> ______________________________________</w:t>
      </w:r>
    </w:p>
    <w:p w14:paraId="08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(дата и номер регистрации уведомления)   </w:t>
      </w:r>
    </w:p>
    <w:p w14:paraId="09020000">
      <w:pPr>
        <w:widowControl w:val="1"/>
        <w:ind/>
        <w:jc w:val="both"/>
        <w:rPr>
          <w:sz w:val="28"/>
        </w:rPr>
      </w:pPr>
    </w:p>
    <w:p w14:paraId="0A020000">
      <w:pPr>
        <w:widowControl w:val="1"/>
        <w:ind/>
        <w:jc w:val="both"/>
        <w:rPr>
          <w:sz w:val="28"/>
        </w:rPr>
      </w:pPr>
      <w:r>
        <w:rPr>
          <w:sz w:val="28"/>
        </w:rPr>
        <w:t>уведомляем:</w:t>
      </w:r>
    </w:p>
    <w:p w14:paraId="0B020000">
      <w:pPr>
        <w:widowControl w:val="1"/>
        <w:ind/>
        <w:jc w:val="both"/>
        <w:rPr>
          <w:sz w:val="28"/>
        </w:rPr>
      </w:pPr>
      <w:r>
        <w:rPr>
          <w:sz w:val="28"/>
        </w:rPr>
        <w:t>1) о  несоответствии  параметров,  указанных  в  уведомлении   предельным</w:t>
      </w:r>
    </w:p>
    <w:p w14:paraId="0C020000">
      <w:pPr>
        <w:widowControl w:val="1"/>
        <w:ind/>
        <w:jc w:val="both"/>
        <w:rPr>
          <w:sz w:val="28"/>
        </w:rPr>
      </w:pPr>
      <w:r>
        <w:rPr>
          <w:sz w:val="28"/>
        </w:rPr>
        <w:t>параметрам разрешенного строительства, реконструкции объекта капитального</w:t>
      </w:r>
    </w:p>
    <w:p w14:paraId="0D020000">
      <w:pPr>
        <w:widowControl w:val="1"/>
        <w:ind/>
        <w:jc w:val="both"/>
        <w:rPr>
          <w:sz w:val="28"/>
        </w:rPr>
      </w:pPr>
      <w:r>
        <w:rPr>
          <w:sz w:val="28"/>
        </w:rPr>
        <w:t>строительства по следующим основаниям:</w:t>
      </w:r>
    </w:p>
    <w:p w14:paraId="0E02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F02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(сведения   о   предельных   параметрах   </w:t>
      </w:r>
      <w:r>
        <w:rPr>
          <w:sz w:val="24"/>
        </w:rPr>
        <w:t xml:space="preserve">разрешенного     строительства, </w:t>
      </w:r>
      <w:r>
        <w:rPr>
          <w:sz w:val="24"/>
        </w:rPr>
        <w:t>реконструкции объектов капитального строит</w:t>
      </w:r>
      <w:r>
        <w:rPr>
          <w:sz w:val="24"/>
        </w:rPr>
        <w:t xml:space="preserve">ельства, которые установлены </w:t>
      </w:r>
      <w:r>
        <w:rPr>
          <w:sz w:val="24"/>
        </w:rPr>
        <w:t>правилами землепользования  и  застройки,  документацией  по   планировке</w:t>
      </w:r>
      <w:r>
        <w:rPr>
          <w:sz w:val="24"/>
        </w:rPr>
        <w:t xml:space="preserve"> </w:t>
      </w:r>
      <w:r>
        <w:rPr>
          <w:sz w:val="24"/>
        </w:rPr>
        <w:t>территории,  или  об  обязательных  требов</w:t>
      </w:r>
      <w:r>
        <w:rPr>
          <w:sz w:val="24"/>
        </w:rPr>
        <w:t xml:space="preserve">аниях  к  параметрам   объектов </w:t>
      </w:r>
      <w:r>
        <w:rPr>
          <w:sz w:val="24"/>
        </w:rPr>
        <w:t>капитального  строительства,  которые   ус</w:t>
      </w:r>
      <w:r>
        <w:rPr>
          <w:sz w:val="24"/>
        </w:rPr>
        <w:t xml:space="preserve">тановлены     Градостроительным </w:t>
      </w:r>
      <w:r>
        <w:rPr>
          <w:sz w:val="24"/>
        </w:rPr>
        <w:t>кодексом  Российской  Федерации  (Собрание</w:t>
      </w:r>
      <w:r>
        <w:rPr>
          <w:sz w:val="24"/>
        </w:rPr>
        <w:t xml:space="preserve">  законодательства   Российской </w:t>
      </w:r>
      <w:r>
        <w:rPr>
          <w:sz w:val="24"/>
        </w:rPr>
        <w:t xml:space="preserve">Федерации, 2005, N 1, ст. 16; 2018, N 32, </w:t>
      </w:r>
      <w:r>
        <w:rPr>
          <w:sz w:val="24"/>
        </w:rPr>
        <w:t xml:space="preserve">ст. 5135), другими федеральными </w:t>
      </w:r>
      <w:r>
        <w:rPr>
          <w:sz w:val="24"/>
        </w:rPr>
        <w:t>законами, действующими на дату поступления</w:t>
      </w:r>
      <w:r>
        <w:rPr>
          <w:sz w:val="24"/>
        </w:rPr>
        <w:t xml:space="preserve">  уведомления,   и  которым  не </w:t>
      </w:r>
      <w:r>
        <w:rPr>
          <w:sz w:val="24"/>
        </w:rPr>
        <w:t>соответствуют параметры объекта индивидуального жилищного   строител</w:t>
      </w:r>
      <w:r>
        <w:rPr>
          <w:sz w:val="24"/>
        </w:rPr>
        <w:t xml:space="preserve">ьства </w:t>
      </w:r>
      <w:r>
        <w:rPr>
          <w:sz w:val="24"/>
        </w:rPr>
        <w:t>или садового дома, указанные в уведомлении)</w:t>
      </w:r>
    </w:p>
    <w:p w14:paraId="10020000">
      <w:pPr>
        <w:widowControl w:val="1"/>
        <w:ind/>
        <w:jc w:val="both"/>
        <w:rPr>
          <w:sz w:val="28"/>
        </w:rPr>
      </w:pPr>
    </w:p>
    <w:p w14:paraId="11020000">
      <w:pPr>
        <w:widowControl w:val="1"/>
        <w:ind/>
        <w:jc w:val="both"/>
        <w:rPr>
          <w:sz w:val="28"/>
        </w:rPr>
      </w:pPr>
      <w:r>
        <w:rPr>
          <w:sz w:val="28"/>
        </w:rPr>
        <w:t>2)  о  недопустимости  размещения  объекта  индивидуального     жилищного</w:t>
      </w:r>
    </w:p>
    <w:p w14:paraId="12020000">
      <w:pPr>
        <w:widowControl w:val="1"/>
        <w:ind/>
        <w:jc w:val="both"/>
        <w:rPr>
          <w:sz w:val="28"/>
        </w:rPr>
      </w:pPr>
      <w:r>
        <w:rPr>
          <w:sz w:val="28"/>
        </w:rPr>
        <w:t>строительства или  садового  дома  на  земельном  участке  по   следующим</w:t>
      </w:r>
    </w:p>
    <w:p w14:paraId="13020000">
      <w:pPr>
        <w:widowControl w:val="1"/>
        <w:ind/>
        <w:jc w:val="both"/>
        <w:rPr>
          <w:sz w:val="28"/>
        </w:rPr>
      </w:pPr>
      <w:r>
        <w:rPr>
          <w:sz w:val="28"/>
        </w:rPr>
        <w:t>основаниям:</w:t>
      </w:r>
    </w:p>
    <w:p w14:paraId="1402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5020000">
      <w:pPr>
        <w:widowControl w:val="1"/>
        <w:ind/>
        <w:jc w:val="both"/>
        <w:rPr>
          <w:sz w:val="24"/>
        </w:rPr>
      </w:pPr>
      <w:r>
        <w:rPr>
          <w:sz w:val="28"/>
        </w:rPr>
        <w:t>(</w:t>
      </w:r>
      <w:r>
        <w:rPr>
          <w:sz w:val="24"/>
        </w:rPr>
        <w:t>сведения о видах разрешенного использован</w:t>
      </w:r>
      <w:r>
        <w:rPr>
          <w:sz w:val="24"/>
        </w:rPr>
        <w:t>ия земельного участка и (или) ограничениях,  установленных в</w:t>
      </w:r>
      <w:r>
        <w:rPr>
          <w:sz w:val="24"/>
        </w:rPr>
        <w:t xml:space="preserve"> соответст</w:t>
      </w:r>
      <w:r>
        <w:rPr>
          <w:sz w:val="24"/>
        </w:rPr>
        <w:t xml:space="preserve">вии с земельным и иным </w:t>
      </w:r>
      <w:r>
        <w:rPr>
          <w:sz w:val="24"/>
        </w:rPr>
        <w:t>законодательством Российской Федерации и д</w:t>
      </w:r>
      <w:r>
        <w:rPr>
          <w:sz w:val="24"/>
        </w:rPr>
        <w:t xml:space="preserve">ействующими на дату поступления </w:t>
      </w:r>
      <w:r>
        <w:rPr>
          <w:sz w:val="24"/>
        </w:rPr>
        <w:t>уведомления</w:t>
      </w:r>
      <w:r>
        <w:rPr>
          <w:sz w:val="28"/>
        </w:rPr>
        <w:t>)</w:t>
      </w:r>
    </w:p>
    <w:p w14:paraId="16020000">
      <w:pPr>
        <w:widowControl w:val="1"/>
        <w:ind/>
        <w:jc w:val="both"/>
        <w:rPr>
          <w:sz w:val="28"/>
        </w:rPr>
      </w:pPr>
    </w:p>
    <w:p w14:paraId="17020000">
      <w:pPr>
        <w:widowControl w:val="1"/>
        <w:ind/>
        <w:jc w:val="both"/>
        <w:rPr>
          <w:sz w:val="28"/>
        </w:rPr>
      </w:pPr>
      <w:r>
        <w:rPr>
          <w:sz w:val="28"/>
        </w:rPr>
        <w:t>3) о том, что уведомление подано или  направлено  лицом,  не   являющимся</w:t>
      </w:r>
    </w:p>
    <w:p w14:paraId="18020000">
      <w:pPr>
        <w:widowControl w:val="1"/>
        <w:ind/>
        <w:jc w:val="both"/>
        <w:rPr>
          <w:sz w:val="28"/>
        </w:rPr>
      </w:pPr>
      <w:r>
        <w:rPr>
          <w:sz w:val="28"/>
        </w:rPr>
        <w:t>застройщиком в связи с отсутствием прав на</w:t>
      </w:r>
      <w:r>
        <w:rPr>
          <w:sz w:val="28"/>
        </w:rPr>
        <w:t xml:space="preserve"> земельный участок по следующим </w:t>
      </w:r>
      <w:r>
        <w:rPr>
          <w:sz w:val="28"/>
        </w:rPr>
        <w:t>основаниям:</w:t>
      </w:r>
    </w:p>
    <w:p w14:paraId="1902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A020000">
      <w:pPr>
        <w:widowControl w:val="1"/>
        <w:ind/>
        <w:jc w:val="both"/>
        <w:rPr>
          <w:sz w:val="24"/>
        </w:rPr>
      </w:pPr>
      <w:r>
        <w:rPr>
          <w:sz w:val="28"/>
        </w:rPr>
        <w:t>(</w:t>
      </w:r>
      <w:r>
        <w:rPr>
          <w:sz w:val="24"/>
        </w:rPr>
        <w:t>сведения о том,  что  лицо,  подавшее  ил</w:t>
      </w:r>
      <w:r>
        <w:rPr>
          <w:sz w:val="24"/>
        </w:rPr>
        <w:t xml:space="preserve">и  направившее    уведомление о </w:t>
      </w:r>
      <w:r>
        <w:rPr>
          <w:sz w:val="24"/>
        </w:rPr>
        <w:t>планируемом строительстве, не является зас</w:t>
      </w:r>
      <w:r>
        <w:rPr>
          <w:sz w:val="24"/>
        </w:rPr>
        <w:t xml:space="preserve">тройщиком в связи с отсутствием </w:t>
      </w:r>
      <w:r>
        <w:rPr>
          <w:sz w:val="24"/>
        </w:rPr>
        <w:t>у него прав на земельный участок</w:t>
      </w:r>
      <w:r>
        <w:rPr>
          <w:sz w:val="28"/>
        </w:rPr>
        <w:t>)</w:t>
      </w:r>
    </w:p>
    <w:p w14:paraId="1B020000">
      <w:pPr>
        <w:widowControl w:val="1"/>
        <w:ind/>
        <w:jc w:val="both"/>
        <w:rPr>
          <w:sz w:val="28"/>
        </w:rPr>
      </w:pPr>
    </w:p>
    <w:p w14:paraId="1C020000">
      <w:pPr>
        <w:widowControl w:val="1"/>
        <w:ind/>
        <w:jc w:val="both"/>
        <w:rPr>
          <w:sz w:val="28"/>
        </w:rPr>
      </w:pPr>
      <w:r>
        <w:rPr>
          <w:sz w:val="28"/>
        </w:rPr>
        <w:t>4) о несоответствии описания  внешнего  облика  объекта   индивидуального</w:t>
      </w:r>
    </w:p>
    <w:p w14:paraId="1D020000">
      <w:pPr>
        <w:widowControl w:val="1"/>
        <w:ind/>
        <w:jc w:val="both"/>
        <w:rPr>
          <w:sz w:val="28"/>
        </w:rPr>
      </w:pPr>
      <w:r>
        <w:rPr>
          <w:sz w:val="28"/>
        </w:rPr>
        <w:t>жилищного строительства или садового дома предмету охраны   историческо</w:t>
      </w:r>
      <w:r>
        <w:rPr>
          <w:sz w:val="28"/>
        </w:rPr>
        <w:t xml:space="preserve">го </w:t>
      </w:r>
      <w:r>
        <w:rPr>
          <w:sz w:val="28"/>
        </w:rPr>
        <w:t>поселения и требованиям к архитектурным ре</w:t>
      </w:r>
      <w:r>
        <w:rPr>
          <w:sz w:val="28"/>
        </w:rPr>
        <w:t xml:space="preserve">шениям  объектов   капитального </w:t>
      </w:r>
      <w:r>
        <w:rPr>
          <w:sz w:val="28"/>
        </w:rPr>
        <w:t>строительства, установленным градостроител</w:t>
      </w:r>
      <w:r>
        <w:rPr>
          <w:sz w:val="28"/>
        </w:rPr>
        <w:t xml:space="preserve">ьным регламентом  применительно </w:t>
      </w:r>
      <w:r>
        <w:rPr>
          <w:sz w:val="28"/>
        </w:rPr>
        <w:t>к территориальной зоне, расположенной в гр</w:t>
      </w:r>
      <w:r>
        <w:rPr>
          <w:sz w:val="28"/>
        </w:rPr>
        <w:t xml:space="preserve">аницах территории исторического </w:t>
      </w:r>
      <w:r>
        <w:rPr>
          <w:sz w:val="28"/>
        </w:rPr>
        <w:t>поселения  федерального  или  региональног</w:t>
      </w:r>
      <w:r>
        <w:rPr>
          <w:sz w:val="28"/>
        </w:rPr>
        <w:t xml:space="preserve">о   значения   по     следующим </w:t>
      </w:r>
      <w:r>
        <w:rPr>
          <w:sz w:val="28"/>
        </w:rPr>
        <w:t>основаниям:</w:t>
      </w:r>
    </w:p>
    <w:p w14:paraId="1E02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F020000">
      <w:pPr>
        <w:widowControl w:val="1"/>
        <w:ind/>
        <w:jc w:val="both"/>
        <w:rPr>
          <w:sz w:val="24"/>
        </w:rPr>
      </w:pPr>
      <w:r>
        <w:rPr>
          <w:sz w:val="28"/>
        </w:rPr>
        <w:t>(</w:t>
      </w:r>
      <w:r>
        <w:rPr>
          <w:sz w:val="24"/>
        </w:rPr>
        <w:t>реквизиты уведомления органа исполнительной власти субъекта   Российской</w:t>
      </w:r>
    </w:p>
    <w:p w14:paraId="20020000">
      <w:pPr>
        <w:widowControl w:val="1"/>
        <w:ind/>
        <w:jc w:val="both"/>
        <w:rPr>
          <w:sz w:val="24"/>
        </w:rPr>
      </w:pPr>
      <w:r>
        <w:rPr>
          <w:sz w:val="24"/>
        </w:rPr>
        <w:t>Федерации,  уполномоченного  в  области  охраны  объектов     культурного</w:t>
      </w:r>
    </w:p>
    <w:p w14:paraId="21020000">
      <w:pPr>
        <w:widowControl w:val="1"/>
        <w:ind/>
        <w:jc w:val="both"/>
        <w:rPr>
          <w:sz w:val="28"/>
        </w:rPr>
      </w:pPr>
      <w:r>
        <w:rPr>
          <w:sz w:val="24"/>
        </w:rPr>
        <w:t>наследия</w:t>
      </w:r>
      <w:r>
        <w:rPr>
          <w:sz w:val="28"/>
        </w:rPr>
        <w:t>)</w:t>
      </w:r>
    </w:p>
    <w:p w14:paraId="2202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23020000">
      <w:pPr>
        <w:widowControl w:val="1"/>
        <w:ind/>
        <w:jc w:val="both"/>
        <w:rPr>
          <w:sz w:val="28"/>
        </w:rPr>
      </w:pPr>
    </w:p>
    <w:p w14:paraId="24020000">
      <w:pPr>
        <w:widowControl w:val="1"/>
        <w:ind/>
        <w:jc w:val="both"/>
        <w:rPr>
          <w:sz w:val="28"/>
        </w:rPr>
      </w:pPr>
    </w:p>
    <w:p w14:paraId="25020000">
      <w:pPr>
        <w:widowControl w:val="1"/>
        <w:ind/>
        <w:jc w:val="both"/>
        <w:rPr>
          <w:sz w:val="28"/>
        </w:rPr>
      </w:pPr>
    </w:p>
    <w:p w14:paraId="26020000">
      <w:pPr>
        <w:widowControl w:val="1"/>
        <w:ind/>
        <w:jc w:val="both"/>
        <w:rPr>
          <w:sz w:val="28"/>
        </w:rPr>
      </w:pPr>
    </w:p>
    <w:p w14:paraId="27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</w:t>
      </w:r>
      <w:r>
        <w:rPr>
          <w:rFonts w:ascii="PT Astra Serif" w:hAnsi="PT Astra Serif"/>
          <w:sz w:val="24"/>
        </w:rPr>
        <w:t>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>(расшифровка подписи)</w:t>
      </w:r>
    </w:p>
    <w:p w14:paraId="28020000">
      <w:pPr>
        <w:widowControl w:val="1"/>
        <w:ind/>
        <w:jc w:val="both"/>
        <w:rPr>
          <w:sz w:val="28"/>
        </w:rPr>
      </w:pPr>
      <w:bookmarkEnd w:id="2"/>
    </w:p>
    <w:p w14:paraId="29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2A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2B020000">
      <w:pPr>
        <w:widowControl w:val="1"/>
        <w:tabs>
          <w:tab w:leader="none" w:pos="400" w:val="left"/>
          <w:tab w:leader="none" w:pos="567" w:val="left"/>
        </w:tabs>
        <w:ind w:firstLine="1134"/>
        <w:jc w:val="right"/>
        <w:rPr>
          <w:rFonts w:ascii="PT Astra Serif" w:hAnsi="PT Astra Serif"/>
          <w:color w:val="000000"/>
          <w:sz w:val="28"/>
        </w:rPr>
      </w:pPr>
    </w:p>
    <w:sectPr>
      <w:headerReference r:id="rId3" w:type="default"/>
      <w:pgSz w:h="16838" w:orient="portrait" w:w="11906"/>
      <w:pgMar w:bottom="1134" w:footer="0" w:gutter="0" w:header="709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2F020000">
      <w:r>
        <w:separator/>
      </w:r>
    </w:p>
  </w:endnote>
  <w:endnote w:id="0" w:type="continuationSeparator">
    <w:p w14:paraId="3002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2C020000">
      <w:r>
        <w:separator/>
      </w:r>
    </w:p>
  </w:footnote>
  <w:footnote w:id="0" w:type="continuationSeparator">
    <w:p w14:paraId="2D020000">
      <w:r>
        <w:continuationSeparator/>
      </w:r>
    </w:p>
  </w:footnote>
  <w:footnote w:id="1">
    <w:p w14:paraId="2E020000">
      <w:pPr>
        <w:pStyle w:val="Style_27"/>
        <w:widowControl w:val="1"/>
        <w:ind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">
    <w:lvl w:ilvl="0">
      <w:start w:val="29"/>
      <w:numFmt w:val="decimal"/>
      <w:lvlText w:val="%1."/>
      <w:lvlJc w:val="left"/>
      <w:pPr>
        <w:widowControl w:val="1"/>
        <w:ind w:hanging="375" w:left="73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33"/>
      <w:numFmt w:val="decimal"/>
      <w:lvlText w:val="%1."/>
      <w:lvlJc w:val="left"/>
      <w:pPr>
        <w:widowControl w:val="1"/>
        <w:ind w:hanging="375" w:left="73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37"/>
      <w:numFmt w:val="decimal"/>
      <w:lvlText w:val="%1."/>
      <w:lvlJc w:val="left"/>
      <w:pPr>
        <w:widowControl w:val="1"/>
        <w:ind w:hanging="375" w:left="735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41"/>
      <w:numFmt w:val="decimal"/>
      <w:lvlText w:val="%1."/>
      <w:lvlJc w:val="left"/>
      <w:pPr>
        <w:widowControl w:val="1"/>
        <w:ind w:hanging="375" w:left="165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2355"/>
      </w:pPr>
    </w:lvl>
    <w:lvl w:ilvl="2">
      <w:start w:val="1"/>
      <w:numFmt w:val="lowerRoman"/>
      <w:lvlText w:val="%3."/>
      <w:lvlJc w:val="right"/>
      <w:pPr>
        <w:widowControl w:val="1"/>
        <w:ind w:hanging="180" w:left="3075"/>
      </w:pPr>
    </w:lvl>
    <w:lvl w:ilvl="3">
      <w:start w:val="1"/>
      <w:numFmt w:val="decimal"/>
      <w:lvlText w:val="%4."/>
      <w:lvlJc w:val="left"/>
      <w:pPr>
        <w:widowControl w:val="1"/>
        <w:ind w:hanging="360" w:left="3795"/>
      </w:pPr>
    </w:lvl>
    <w:lvl w:ilvl="4">
      <w:start w:val="1"/>
      <w:numFmt w:val="lowerLetter"/>
      <w:lvlText w:val="%5."/>
      <w:lvlJc w:val="left"/>
      <w:pPr>
        <w:widowControl w:val="1"/>
        <w:ind w:hanging="360" w:left="4515"/>
      </w:pPr>
    </w:lvl>
    <w:lvl w:ilvl="5">
      <w:start w:val="1"/>
      <w:numFmt w:val="lowerRoman"/>
      <w:lvlText w:val="%6."/>
      <w:lvlJc w:val="right"/>
      <w:pPr>
        <w:widowControl w:val="1"/>
        <w:ind w:hanging="180" w:left="5235"/>
      </w:pPr>
    </w:lvl>
    <w:lvl w:ilvl="6">
      <w:start w:val="1"/>
      <w:numFmt w:val="decimal"/>
      <w:lvlText w:val="%7."/>
      <w:lvlJc w:val="left"/>
      <w:pPr>
        <w:widowControl w:val="1"/>
        <w:ind w:hanging="360" w:left="5955"/>
      </w:pPr>
    </w:lvl>
    <w:lvl w:ilvl="7">
      <w:start w:val="1"/>
      <w:numFmt w:val="lowerLetter"/>
      <w:lvlText w:val="%8."/>
      <w:lvlJc w:val="left"/>
      <w:pPr>
        <w:widowControl w:val="1"/>
        <w:ind w:hanging="360" w:left="6675"/>
      </w:pPr>
    </w:lvl>
    <w:lvl w:ilvl="8">
      <w:start w:val="1"/>
      <w:numFmt w:val="lowerRoman"/>
      <w:lvlText w:val="%9."/>
      <w:lvlJc w:val="right"/>
      <w:pPr>
        <w:widowControl w:val="1"/>
        <w:ind w:hanging="180" w:left="7395"/>
      </w:pPr>
    </w:lvl>
  </w:abstractNum>
  <w:abstractNum w:abstractNumId="5">
    <w:lvl w:ilvl="0">
      <w:start w:val="1"/>
      <w:numFmt w:val="decimal"/>
      <w:pStyle w:val="Style_6"/>
      <w:lvlText w:val="%1."/>
      <w:lvlJc w:val="left"/>
      <w:pPr>
        <w:widowControl w:val="1"/>
        <w:ind w:firstLine="709" w:left="-283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toc 2"/>
    <w:next w:val="Style_9"/>
    <w:link w:val="Style_10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Contents 5"/>
    <w:link w:val="Style_11_ch"/>
    <w:rPr>
      <w:rFonts w:ascii="XO Thames" w:hAnsi="XO Thames"/>
      <w:sz w:val="28"/>
    </w:rPr>
  </w:style>
  <w:style w:styleId="Style_11_ch" w:type="character">
    <w:name w:val="Contents 5"/>
    <w:link w:val="Style_11"/>
    <w:rPr>
      <w:rFonts w:ascii="XO Thames" w:hAnsi="XO Thames"/>
      <w:sz w:val="28"/>
    </w:rPr>
  </w:style>
  <w:style w:styleId="Style_12" w:type="paragraph">
    <w:name w:val="toc 4"/>
    <w:next w:val="Style_9"/>
    <w:link w:val="Style_12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9"/>
    <w:link w:val="Style_13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Заголовок 61"/>
    <w:link w:val="Style_14_ch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14_ch" w:type="character">
    <w:name w:val="Заголовок 61"/>
    <w:link w:val="Style_14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15" w:type="paragraph">
    <w:name w:val="toc 7"/>
    <w:next w:val="Style_9"/>
    <w:link w:val="Style_15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5" w:type="paragraph">
    <w:name w:val="List Paragraph"/>
    <w:basedOn w:val="Style_9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9_ch"/>
    <w:link w:val="Style_5"/>
  </w:style>
  <w:style w:styleId="Style_16" w:type="paragraph">
    <w:name w:val="Символ концевой сноски"/>
    <w:link w:val="Style_16_ch"/>
    <w:rPr>
      <w:vertAlign w:val="superscript"/>
    </w:rPr>
  </w:style>
  <w:style w:styleId="Style_16_ch" w:type="character">
    <w:name w:val="Символ концевой сноски"/>
    <w:link w:val="Style_16"/>
    <w:rPr>
      <w:vertAlign w:val="superscript"/>
    </w:rPr>
  </w:style>
  <w:style w:styleId="Style_17" w:type="paragraph">
    <w:name w:val="Contents 8"/>
    <w:link w:val="Style_17_ch"/>
    <w:rPr>
      <w:rFonts w:ascii="XO Thames" w:hAnsi="XO Thames"/>
      <w:sz w:val="28"/>
    </w:rPr>
  </w:style>
  <w:style w:styleId="Style_17_ch" w:type="character">
    <w:name w:val="Contents 8"/>
    <w:link w:val="Style_17"/>
    <w:rPr>
      <w:rFonts w:ascii="XO Thames" w:hAnsi="XO Thames"/>
      <w:sz w:val="28"/>
    </w:rPr>
  </w:style>
  <w:style w:styleId="Style_18" w:type="paragraph">
    <w:name w:val="Endnote"/>
    <w:basedOn w:val="Style_9"/>
    <w:link w:val="Style_18_ch"/>
  </w:style>
  <w:style w:styleId="Style_18_ch" w:type="character">
    <w:name w:val="Endnote"/>
    <w:basedOn w:val="Style_9_ch"/>
    <w:link w:val="Style_18"/>
  </w:style>
  <w:style w:styleId="Style_19" w:type="paragraph">
    <w:name w:val="heading 3"/>
    <w:link w:val="Style_19_ch"/>
    <w:uiPriority w:val="9"/>
    <w:qFormat/>
    <w:pPr>
      <w:widowControl w:val="1"/>
      <w:ind/>
      <w:outlineLvl w:val="2"/>
    </w:pPr>
    <w:rPr>
      <w:rFonts w:asciiTheme="majorAscii" w:hAnsiTheme="majorHAnsi"/>
      <w:b w:val="1"/>
      <w:color w:themeColor="accent1" w:val="5B9BD5"/>
    </w:rPr>
  </w:style>
  <w:style w:styleId="Style_19_ch" w:type="character">
    <w:name w:val="heading 3"/>
    <w:link w:val="Style_19"/>
    <w:rPr>
      <w:rFonts w:asciiTheme="majorAscii" w:hAnsiTheme="majorHAnsi"/>
      <w:b w:val="1"/>
      <w:color w:themeColor="accent1" w:val="5B9BD5"/>
    </w:rPr>
  </w:style>
  <w:style w:styleId="Style_20" w:type="paragraph">
    <w:name w:val="Заголовок 51"/>
    <w:link w:val="Style_20_ch"/>
    <w:rPr>
      <w:rFonts w:asciiTheme="majorAscii" w:hAnsiTheme="majorHAnsi"/>
      <w:color w:themeColor="accent1" w:themeShade="7F" w:val="1F4E79"/>
    </w:rPr>
  </w:style>
  <w:style w:styleId="Style_20_ch" w:type="character">
    <w:name w:val="Заголовок 51"/>
    <w:link w:val="Style_20"/>
    <w:rPr>
      <w:rFonts w:asciiTheme="majorAscii" w:hAnsiTheme="majorHAnsi"/>
      <w:color w:themeColor="accent1" w:themeShade="7F" w:val="1F4E79"/>
    </w:rPr>
  </w:style>
  <w:style w:styleId="Style_21" w:type="paragraph">
    <w:name w:val="Гиперссылка1"/>
    <w:link w:val="Style_21_ch"/>
    <w:rPr>
      <w:color w:themeColor="hyperlink" w:val="0563C1"/>
      <w:u w:val="single"/>
    </w:rPr>
  </w:style>
  <w:style w:styleId="Style_21_ch" w:type="character">
    <w:name w:val="Гиперссылка1"/>
    <w:link w:val="Style_21"/>
    <w:rPr>
      <w:color w:themeColor="hyperlink" w:val="0563C1"/>
      <w:u w:val="single"/>
    </w:rPr>
  </w:style>
  <w:style w:styleId="Style_22" w:type="paragraph">
    <w:name w:val="Заголовок"/>
    <w:basedOn w:val="Style_9"/>
    <w:next w:val="Style_23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9_ch"/>
    <w:link w:val="Style_22"/>
    <w:rPr>
      <w:rFonts w:ascii="PT Astra Serif" w:hAnsi="PT Astra Serif"/>
      <w:sz w:val="28"/>
    </w:rPr>
  </w:style>
  <w:style w:styleId="Style_24" w:type="paragraph">
    <w:name w:val="Text body"/>
    <w:link w:val="Style_24_ch"/>
    <w:rPr>
      <w:sz w:val="24"/>
    </w:rPr>
  </w:style>
  <w:style w:styleId="Style_24_ch" w:type="character">
    <w:name w:val="Text body"/>
    <w:link w:val="Style_24"/>
    <w:rPr>
      <w:sz w:val="24"/>
    </w:rPr>
  </w:style>
  <w:style w:styleId="Style_23" w:type="paragraph">
    <w:name w:val="Body Text"/>
    <w:basedOn w:val="Style_9"/>
    <w:link w:val="Style_23_ch"/>
    <w:pPr>
      <w:widowControl w:val="0"/>
      <w:ind/>
    </w:pPr>
    <w:rPr>
      <w:sz w:val="24"/>
    </w:rPr>
  </w:style>
  <w:style w:styleId="Style_23_ch" w:type="character">
    <w:name w:val="Body Text"/>
    <w:basedOn w:val="Style_9_ch"/>
    <w:link w:val="Style_23"/>
    <w:rPr>
      <w:sz w:val="24"/>
    </w:rPr>
  </w:style>
  <w:style w:styleId="Style_4" w:type="paragraph">
    <w:name w:val="Обычный1"/>
    <w:link w:val="Style_4_ch"/>
    <w:rPr>
      <w:rFonts w:ascii="Times New Roman" w:hAnsi="Times New Roman"/>
      <w:color w:val="000000"/>
      <w:spacing w:val="0"/>
      <w:sz w:val="20"/>
    </w:rPr>
  </w:style>
  <w:style w:styleId="Style_4_ch" w:type="character">
    <w:name w:val="Обычный1"/>
    <w:link w:val="Style_4"/>
    <w:rPr>
      <w:rFonts w:ascii="Times New Roman" w:hAnsi="Times New Roman"/>
      <w:color w:val="000000"/>
      <w:spacing w:val="0"/>
      <w:sz w:val="20"/>
    </w:rPr>
  </w:style>
  <w:style w:styleId="Style_25" w:type="paragraph">
    <w:name w:val="List"/>
    <w:basedOn w:val="Style_23"/>
    <w:link w:val="Style_25_ch"/>
    <w:rPr>
      <w:rFonts w:ascii="PT Astra Serif" w:hAnsi="PT Astra Serif"/>
    </w:rPr>
  </w:style>
  <w:style w:styleId="Style_25_ch" w:type="character">
    <w:name w:val="List"/>
    <w:basedOn w:val="Style_23_ch"/>
    <w:link w:val="Style_25"/>
    <w:rPr>
      <w:rFonts w:ascii="PT Astra Serif" w:hAnsi="PT Astra Serif"/>
    </w:rPr>
  </w:style>
  <w:style w:styleId="Style_6" w:type="paragraph">
    <w:name w:val="Список-N"/>
    <w:basedOn w:val="Style_5"/>
    <w:link w:val="Style_6_ch"/>
    <w:pPr>
      <w:widowControl w:val="0"/>
      <w:numPr>
        <w:numId w:val="6"/>
      </w:numPr>
      <w:spacing w:line="276" w:lineRule="auto"/>
      <w:ind/>
      <w:jc w:val="both"/>
    </w:pPr>
    <w:rPr>
      <w:sz w:val="28"/>
    </w:rPr>
  </w:style>
  <w:style w:styleId="Style_6_ch" w:type="character">
    <w:name w:val="Список-N"/>
    <w:basedOn w:val="Style_5_ch"/>
    <w:link w:val="Style_6"/>
    <w:rPr>
      <w:sz w:val="28"/>
    </w:rPr>
  </w:style>
  <w:style w:styleId="Style_26" w:type="paragraph">
    <w:name w:val="toc 3"/>
    <w:next w:val="Style_9"/>
    <w:link w:val="Style_26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Footnote"/>
    <w:basedOn w:val="Style_9"/>
    <w:link w:val="Style_27_ch"/>
  </w:style>
  <w:style w:styleId="Style_27_ch" w:type="character">
    <w:name w:val="Footnote"/>
    <w:basedOn w:val="Style_9_ch"/>
    <w:link w:val="Style_27"/>
  </w:style>
  <w:style w:styleId="Style_28" w:type="paragraph">
    <w:name w:val="Знак примечания1"/>
    <w:link w:val="Style_28_ch"/>
    <w:pPr>
      <w:widowControl w:val="1"/>
      <w:spacing w:after="160" w:line="264" w:lineRule="auto"/>
      <w:ind/>
    </w:pPr>
    <w:rPr>
      <w:sz w:val="16"/>
    </w:rPr>
  </w:style>
  <w:style w:styleId="Style_28_ch" w:type="character">
    <w:name w:val="Знак примечания1"/>
    <w:link w:val="Style_28"/>
    <w:rPr>
      <w:sz w:val="16"/>
    </w:rPr>
  </w:style>
  <w:style w:styleId="Style_29" w:type="paragraph">
    <w:name w:val="Contents 3"/>
    <w:link w:val="Style_29_ch"/>
    <w:rPr>
      <w:rFonts w:ascii="XO Thames" w:hAnsi="XO Thames"/>
      <w:sz w:val="28"/>
    </w:rPr>
  </w:style>
  <w:style w:styleId="Style_29_ch" w:type="character">
    <w:name w:val="Contents 3"/>
    <w:link w:val="Style_29"/>
    <w:rPr>
      <w:rFonts w:ascii="XO Thames" w:hAnsi="XO Thames"/>
      <w:sz w:val="28"/>
    </w:rPr>
  </w:style>
  <w:style w:styleId="Style_30" w:type="paragraph">
    <w:name w:val="Название объекта1"/>
    <w:link w:val="Style_30_ch"/>
    <w:rPr>
      <w:rFonts w:ascii="PT Astra Serif" w:hAnsi="PT Astra Serif"/>
      <w:i w:val="1"/>
      <w:sz w:val="24"/>
    </w:rPr>
  </w:style>
  <w:style w:styleId="Style_30_ch" w:type="character">
    <w:name w:val="Название объекта1"/>
    <w:link w:val="Style_30"/>
    <w:rPr>
      <w:rFonts w:ascii="PT Astra Serif" w:hAnsi="PT Astra Serif"/>
      <w:i w:val="1"/>
      <w:sz w:val="24"/>
    </w:rPr>
  </w:style>
  <w:style w:styleId="Style_31" w:type="paragraph">
    <w:name w:val="Contents 9"/>
    <w:link w:val="Style_31_ch"/>
    <w:rPr>
      <w:rFonts w:ascii="XO Thames" w:hAnsi="XO Thames"/>
      <w:sz w:val="28"/>
    </w:rPr>
  </w:style>
  <w:style w:styleId="Style_31_ch" w:type="character">
    <w:name w:val="Contents 9"/>
    <w:link w:val="Style_31"/>
    <w:rPr>
      <w:rFonts w:ascii="XO Thames" w:hAnsi="XO Thames"/>
      <w:sz w:val="28"/>
    </w:rPr>
  </w:style>
  <w:style w:styleId="Style_32" w:type="paragraph">
    <w:name w:val="Заголовок 41"/>
    <w:link w:val="Style_32_ch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32_ch" w:type="character">
    <w:name w:val="Заголовок 41"/>
    <w:link w:val="Style_32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33" w:type="paragraph">
    <w:name w:val="heading 5"/>
    <w:link w:val="Style_33_ch"/>
    <w:uiPriority w:val="9"/>
    <w:qFormat/>
    <w:pPr>
      <w:widowControl w:val="1"/>
      <w:ind/>
      <w:outlineLvl w:val="4"/>
    </w:pPr>
    <w:rPr>
      <w:rFonts w:asciiTheme="majorAscii" w:hAnsiTheme="majorHAnsi"/>
      <w:color w:themeColor="accent1" w:themeShade="7F" w:val="1F4E79"/>
    </w:rPr>
  </w:style>
  <w:style w:styleId="Style_33_ch" w:type="character">
    <w:name w:val="heading 5"/>
    <w:link w:val="Style_33"/>
    <w:rPr>
      <w:rFonts w:asciiTheme="majorAscii" w:hAnsiTheme="majorHAnsi"/>
      <w:color w:themeColor="accent1" w:themeShade="7F" w:val="1F4E79"/>
    </w:rPr>
  </w:style>
  <w:style w:styleId="Style_34" w:type="paragraph">
    <w:name w:val="Основной шрифт абзаца1"/>
    <w:link w:val="Style_34_ch"/>
    <w:pPr>
      <w:widowControl w:val="1"/>
      <w:spacing w:after="160" w:line="264" w:lineRule="auto"/>
      <w:ind/>
    </w:pPr>
  </w:style>
  <w:style w:styleId="Style_34_ch" w:type="character">
    <w:name w:val="Основной шрифт абзаца1"/>
    <w:link w:val="Style_34"/>
  </w:style>
  <w:style w:styleId="Style_35" w:type="paragraph">
    <w:name w:val="heading 1"/>
    <w:link w:val="Style_35_ch"/>
    <w:uiPriority w:val="9"/>
    <w:qFormat/>
    <w:pPr>
      <w:widowControl w:val="1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35_ch" w:type="character">
    <w:name w:val="heading 1"/>
    <w:link w:val="Style_35"/>
    <w:rPr>
      <w:rFonts w:asciiTheme="majorAscii" w:hAnsiTheme="majorHAnsi"/>
      <w:b w:val="1"/>
      <w:color w:themeColor="accent1" w:themeShade="BF" w:val="2E75B5"/>
      <w:sz w:val="28"/>
    </w:rPr>
  </w:style>
  <w:style w:styleId="Style_36" w:type="paragraph">
    <w:name w:val="Верхний колонтитул1"/>
    <w:link w:val="Style_36_ch"/>
  </w:style>
  <w:style w:styleId="Style_36_ch" w:type="character">
    <w:name w:val="Верхний колонтитул1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9"/>
    <w:link w:val="Style_38_ch"/>
  </w:style>
  <w:style w:styleId="Style_38_ch" w:type="character">
    <w:name w:val="Footnote"/>
    <w:basedOn w:val="Style_9_ch"/>
    <w:link w:val="Style_38"/>
  </w:style>
  <w:style w:styleId="Style_3" w:type="paragraph">
    <w:name w:val="Normal (Web)"/>
    <w:basedOn w:val="Style_9"/>
    <w:link w:val="Style_3_ch"/>
    <w:pPr>
      <w:widowControl w:val="1"/>
      <w:spacing w:afterAutospacing="on" w:beforeAutospacing="on"/>
      <w:ind/>
    </w:pPr>
    <w:rPr>
      <w:color w:val="000000"/>
      <w:sz w:val="24"/>
    </w:rPr>
  </w:style>
  <w:style w:styleId="Style_3_ch" w:type="character">
    <w:name w:val="Normal (Web)"/>
    <w:basedOn w:val="Style_9_ch"/>
    <w:link w:val="Style_3"/>
    <w:rPr>
      <w:color w:val="000000"/>
      <w:sz w:val="24"/>
    </w:rPr>
  </w:style>
  <w:style w:styleId="Style_39" w:type="paragraph">
    <w:name w:val="Название1"/>
    <w:link w:val="Style_39_ch"/>
    <w:rPr>
      <w:rFonts w:ascii="XO Thames" w:hAnsi="XO Thames"/>
      <w:b w:val="1"/>
      <w:caps w:val="1"/>
      <w:color w:val="000000"/>
      <w:spacing w:val="0"/>
      <w:sz w:val="40"/>
    </w:rPr>
  </w:style>
  <w:style w:styleId="Style_39_ch" w:type="character">
    <w:name w:val="Название1"/>
    <w:link w:val="Style_39"/>
    <w:rPr>
      <w:rFonts w:ascii="XO Thames" w:hAnsi="XO Thames"/>
      <w:b w:val="1"/>
      <w:caps w:val="1"/>
      <w:color w:val="000000"/>
      <w:spacing w:val="0"/>
      <w:sz w:val="40"/>
    </w:rPr>
  </w:style>
  <w:style w:styleId="Style_40" w:type="paragraph">
    <w:name w:val="toc 1"/>
    <w:next w:val="Style_9"/>
    <w:link w:val="Style_40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Header and Footer"/>
    <w:link w:val="Style_42_ch"/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Footnote Symbol"/>
    <w:basedOn w:val="Style_34"/>
    <w:link w:val="Style_43_ch"/>
    <w:pPr>
      <w:widowControl w:val="1"/>
      <w:spacing w:after="0" w:line="240" w:lineRule="auto"/>
      <w:ind/>
    </w:pPr>
    <w:rPr>
      <w:vertAlign w:val="superscript"/>
    </w:rPr>
  </w:style>
  <w:style w:styleId="Style_43_ch" w:type="character">
    <w:name w:val="Footnote Symbol"/>
    <w:basedOn w:val="Style_34_ch"/>
    <w:link w:val="Style_43"/>
    <w:rPr>
      <w:vertAlign w:val="superscript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! ТЗ Стиль __ТекстОсн_1и + Times New Roman 12 пт По ширине Первая стр..."/>
    <w:basedOn w:val="Style_9"/>
    <w:link w:val="Style_45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45_ch" w:type="character">
    <w:name w:val="! ТЗ Стиль __ТекстОсн_1и + Times New Roman 12 пт По ширине Первая стр..."/>
    <w:basedOn w:val="Style_9_ch"/>
    <w:link w:val="Style_45"/>
    <w:rPr>
      <w:sz w:val="24"/>
    </w:rPr>
  </w:style>
  <w:style w:styleId="Style_46" w:type="paragraph">
    <w:name w:val="caption"/>
    <w:basedOn w:val="Style_9"/>
    <w:link w:val="Style_4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6_ch" w:type="character">
    <w:name w:val="caption"/>
    <w:basedOn w:val="Style_9_ch"/>
    <w:link w:val="Style_46"/>
    <w:rPr>
      <w:rFonts w:ascii="PT Astra Serif" w:hAnsi="PT Astra Serif"/>
      <w:i w:val="1"/>
      <w:sz w:val="24"/>
    </w:rPr>
  </w:style>
  <w:style w:styleId="Style_47" w:type="paragraph">
    <w:name w:val="footer"/>
    <w:link w:val="Style_47_ch"/>
  </w:style>
  <w:style w:styleId="Style_47_ch" w:type="character">
    <w:name w:val="footer"/>
    <w:link w:val="Style_47"/>
  </w:style>
  <w:style w:styleId="Style_48" w:type="paragraph">
    <w:name w:val="Заголовок 11"/>
    <w:link w:val="Style_48_ch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8_ch" w:type="character">
    <w:name w:val="Заголовок 11"/>
    <w:link w:val="Style_48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9" w:type="paragraph">
    <w:name w:val="toc 9"/>
    <w:next w:val="Style_9"/>
    <w:link w:val="Style_49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index heading"/>
    <w:basedOn w:val="Style_9"/>
    <w:link w:val="Style_50_ch"/>
    <w:rPr>
      <w:rFonts w:ascii="PT Astra Serif" w:hAnsi="PT Astra Serif"/>
    </w:rPr>
  </w:style>
  <w:style w:styleId="Style_50_ch" w:type="character">
    <w:name w:val="index heading"/>
    <w:basedOn w:val="Style_9_ch"/>
    <w:link w:val="Style_50"/>
    <w:rPr>
      <w:rFonts w:ascii="PT Astra Serif" w:hAnsi="PT Astra Serif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styleId="Style_52" w:type="paragraph">
    <w:name w:val="toc 8"/>
    <w:next w:val="Style_9"/>
    <w:link w:val="Style_52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Символ сноски"/>
    <w:link w:val="Style_53_ch"/>
    <w:rPr>
      <w:vertAlign w:val="superscript"/>
    </w:rPr>
  </w:style>
  <w:style w:styleId="Style_53_ch" w:type="character">
    <w:name w:val="Символ сноски"/>
    <w:link w:val="Style_53"/>
    <w:rPr>
      <w:vertAlign w:val="superscript"/>
    </w:rPr>
  </w:style>
  <w:style w:styleId="Style_54" w:type="paragraph">
    <w:name w:val="Contents 7"/>
    <w:link w:val="Style_54_ch"/>
    <w:rPr>
      <w:rFonts w:ascii="XO Thames" w:hAnsi="XO Thames"/>
      <w:sz w:val="28"/>
    </w:rPr>
  </w:style>
  <w:style w:styleId="Style_54_ch" w:type="character">
    <w:name w:val="Contents 7"/>
    <w:link w:val="Style_54"/>
    <w:rPr>
      <w:rFonts w:ascii="XO Thames" w:hAnsi="XO Thames"/>
      <w:sz w:val="28"/>
    </w:rPr>
  </w:style>
  <w:style w:styleId="Style_55" w:type="paragraph">
    <w:name w:val="Знак сноски1"/>
    <w:link w:val="Style_55_ch"/>
    <w:rPr>
      <w:vertAlign w:val="superscript"/>
    </w:rPr>
  </w:style>
  <w:style w:styleId="Style_55_ch" w:type="character">
    <w:name w:val="Знак сноски1"/>
    <w:link w:val="Style_55"/>
    <w:rPr>
      <w:vertAlign w:val="superscript"/>
    </w:rPr>
  </w:style>
  <w:style w:styleId="Style_56" w:type="paragraph">
    <w:name w:val="No Spacing"/>
    <w:link w:val="Style_56_ch"/>
    <w:rPr>
      <w:rFonts w:ascii="Times New Roman" w:hAnsi="Times New Roman"/>
      <w:sz w:val="20"/>
    </w:rPr>
  </w:style>
  <w:style w:styleId="Style_56_ch" w:type="character">
    <w:name w:val="No Spacing"/>
    <w:link w:val="Style_56"/>
    <w:rPr>
      <w:rFonts w:ascii="Times New Roman" w:hAnsi="Times New Roman"/>
      <w:sz w:val="20"/>
    </w:rPr>
  </w:style>
  <w:style w:styleId="Style_57" w:type="paragraph">
    <w:name w:val="Список1"/>
    <w:basedOn w:val="Style_24"/>
    <w:link w:val="Style_57_ch"/>
    <w:rPr>
      <w:rFonts w:ascii="PT Astra Serif" w:hAnsi="PT Astra Serif"/>
      <w:color w:val="000000"/>
      <w:spacing w:val="0"/>
      <w:sz w:val="24"/>
    </w:rPr>
  </w:style>
  <w:style w:styleId="Style_57_ch" w:type="character">
    <w:name w:val="Список1"/>
    <w:basedOn w:val="Style_24_ch"/>
    <w:link w:val="Style_57"/>
    <w:rPr>
      <w:rFonts w:ascii="PT Astra Serif" w:hAnsi="PT Astra Serif"/>
      <w:color w:val="000000"/>
      <w:spacing w:val="0"/>
      <w:sz w:val="24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59" w:type="paragraph">
    <w:name w:val="toc 5"/>
    <w:next w:val="Style_9"/>
    <w:link w:val="Style_59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60" w:type="paragraph">
    <w:name w:val="Колонтитул"/>
    <w:link w:val="Style_60_ch"/>
    <w:rPr>
      <w:rFonts w:ascii="XO Thames" w:hAnsi="XO Thames"/>
      <w:sz w:val="28"/>
    </w:rPr>
  </w:style>
  <w:style w:styleId="Style_60_ch" w:type="character">
    <w:name w:val="Колонтитул"/>
    <w:link w:val="Style_60"/>
    <w:rPr>
      <w:rFonts w:ascii="XO Thames" w:hAnsi="XO Thames"/>
      <w:sz w:val="28"/>
    </w:rPr>
  </w:style>
  <w:style w:styleId="Style_61" w:type="paragraph">
    <w:name w:val="Заголовок 31"/>
    <w:link w:val="Style_61_ch"/>
    <w:rPr>
      <w:rFonts w:asciiTheme="majorAscii" w:hAnsiTheme="majorHAnsi"/>
      <w:b w:val="1"/>
      <w:color w:themeColor="accent1" w:val="5B9BD5"/>
    </w:rPr>
  </w:style>
  <w:style w:styleId="Style_61_ch" w:type="character">
    <w:name w:val="Заголовок 31"/>
    <w:link w:val="Style_61"/>
    <w:rPr>
      <w:rFonts w:asciiTheme="majorAscii" w:hAnsiTheme="majorHAnsi"/>
      <w:b w:val="1"/>
      <w:color w:themeColor="accent1" w:val="5B9BD5"/>
    </w:rPr>
  </w:style>
  <w:style w:styleId="Style_62" w:type="paragraph">
    <w:name w:val="annotation text"/>
    <w:basedOn w:val="Style_9"/>
    <w:link w:val="Style_62_ch"/>
  </w:style>
  <w:style w:styleId="Style_62_ch" w:type="character">
    <w:name w:val="annotation text"/>
    <w:basedOn w:val="Style_9_ch"/>
    <w:link w:val="Style_62"/>
  </w:style>
  <w:style w:styleId="Style_63" w:type="paragraph">
    <w:name w:val="Balloon Text"/>
    <w:basedOn w:val="Style_9"/>
    <w:link w:val="Style_63_ch"/>
    <w:rPr>
      <w:rFonts w:ascii="Segoe UI" w:hAnsi="Segoe UI"/>
      <w:sz w:val="18"/>
    </w:rPr>
  </w:style>
  <w:style w:styleId="Style_63_ch" w:type="character">
    <w:name w:val="Balloon Text"/>
    <w:basedOn w:val="Style_9_ch"/>
    <w:link w:val="Style_63"/>
    <w:rPr>
      <w:rFonts w:ascii="Segoe UI" w:hAnsi="Segoe UI"/>
      <w:sz w:val="18"/>
    </w:rPr>
  </w:style>
  <w:style w:styleId="Style_64" w:type="paragraph">
    <w:name w:val="Endnote Symbol"/>
    <w:basedOn w:val="Style_34"/>
    <w:link w:val="Style_64_ch"/>
    <w:rPr>
      <w:vertAlign w:val="superscript"/>
    </w:rPr>
  </w:style>
  <w:style w:styleId="Style_64_ch" w:type="character">
    <w:name w:val="Endnote Symbol"/>
    <w:basedOn w:val="Style_34_ch"/>
    <w:link w:val="Style_64"/>
    <w:rPr>
      <w:vertAlign w:val="superscript"/>
    </w:rPr>
  </w:style>
  <w:style w:styleId="Style_65" w:type="paragraph">
    <w:name w:val="Contents 2"/>
    <w:link w:val="Style_65_ch"/>
    <w:rPr>
      <w:rFonts w:ascii="XO Thames" w:hAnsi="XO Thames"/>
      <w:sz w:val="28"/>
    </w:rPr>
  </w:style>
  <w:style w:styleId="Style_65_ch" w:type="character">
    <w:name w:val="Contents 2"/>
    <w:link w:val="Style_65"/>
    <w:rPr>
      <w:rFonts w:ascii="XO Thames" w:hAnsi="XO Thames"/>
      <w:sz w:val="28"/>
    </w:rPr>
  </w:style>
  <w:style w:styleId="Style_66" w:type="paragraph">
    <w:name w:val="Subtitle"/>
    <w:next w:val="Style_9"/>
    <w:link w:val="Style_66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7" w:type="paragraph">
    <w:name w:val="Strong"/>
    <w:basedOn w:val="Style_58"/>
    <w:link w:val="Style_7_ch"/>
    <w:rPr>
      <w:b w:val="1"/>
    </w:rPr>
  </w:style>
  <w:style w:styleId="Style_7_ch" w:type="character">
    <w:name w:val="Strong"/>
    <w:basedOn w:val="Style_58_ch"/>
    <w:link w:val="Style_7"/>
    <w:rPr>
      <w:b w:val="1"/>
    </w:rPr>
  </w:style>
  <w:style w:styleId="Style_67" w:type="paragraph">
    <w:name w:val="Заголовок 21"/>
    <w:link w:val="Style_67_ch"/>
    <w:rPr>
      <w:rFonts w:asciiTheme="majorAscii" w:hAnsiTheme="majorHAnsi"/>
      <w:b w:val="1"/>
      <w:color w:themeColor="accent1" w:val="5B9BD5"/>
      <w:spacing w:val="0"/>
      <w:sz w:val="26"/>
    </w:rPr>
  </w:style>
  <w:style w:styleId="Style_67_ch" w:type="character">
    <w:name w:val="Заголовок 21"/>
    <w:link w:val="Style_67"/>
    <w:rPr>
      <w:rFonts w:asciiTheme="majorAscii" w:hAnsiTheme="majorHAnsi"/>
      <w:b w:val="1"/>
      <w:color w:themeColor="accent1" w:val="5B9BD5"/>
      <w:spacing w:val="0"/>
      <w:sz w:val="26"/>
    </w:rPr>
  </w:style>
  <w:style w:styleId="Style_68" w:type="paragraph">
    <w:name w:val="Подзаголовок1"/>
    <w:link w:val="Style_68_ch"/>
    <w:rPr>
      <w:rFonts w:ascii="XO Thames" w:hAnsi="XO Thames"/>
      <w:i w:val="1"/>
      <w:color w:val="000000"/>
      <w:spacing w:val="0"/>
      <w:sz w:val="24"/>
    </w:rPr>
  </w:style>
  <w:style w:styleId="Style_68_ch" w:type="character">
    <w:name w:val="Подзаголовок1"/>
    <w:link w:val="Style_68"/>
    <w:rPr>
      <w:rFonts w:ascii="XO Thames" w:hAnsi="XO Thames"/>
      <w:i w:val="1"/>
      <w:color w:val="000000"/>
      <w:spacing w:val="0"/>
      <w:sz w:val="24"/>
    </w:rPr>
  </w:style>
  <w:style w:styleId="Style_69" w:type="paragraph">
    <w:name w:val="Title"/>
    <w:link w:val="Style_69_ch"/>
    <w:uiPriority w:val="10"/>
    <w:qFormat/>
    <w:rPr>
      <w:rFonts w:ascii="XO Thames" w:hAnsi="XO Thames"/>
      <w:b w:val="1"/>
      <w:caps w:val="1"/>
      <w:sz w:val="40"/>
    </w:rPr>
  </w:style>
  <w:style w:styleId="Style_69_ch" w:type="character">
    <w:name w:val="Title"/>
    <w:link w:val="Style_69"/>
    <w:rPr>
      <w:rFonts w:ascii="XO Thames" w:hAnsi="XO Thames"/>
      <w:b w:val="1"/>
      <w:caps w:val="1"/>
      <w:sz w:val="40"/>
    </w:rPr>
  </w:style>
  <w:style w:styleId="Style_70" w:type="paragraph">
    <w:name w:val="heading 4"/>
    <w:link w:val="Style_70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70_ch" w:type="character">
    <w:name w:val="heading 4"/>
    <w:link w:val="Style_70"/>
    <w:rPr>
      <w:rFonts w:asciiTheme="majorAscii" w:hAnsiTheme="majorHAnsi"/>
      <w:b w:val="1"/>
      <w:i w:val="1"/>
      <w:color w:themeColor="accent1" w:val="5B9BD5"/>
    </w:rPr>
  </w:style>
  <w:style w:styleId="Style_71" w:type="paragraph">
    <w:name w:val="ConsPlusNormal"/>
    <w:link w:val="Style_71_ch"/>
    <w:pPr>
      <w:widowControl w:val="0"/>
      <w:ind w:firstLine="720"/>
    </w:pPr>
    <w:rPr>
      <w:rFonts w:ascii="Arial" w:hAnsi="Arial"/>
      <w:color w:val="000000"/>
      <w:sz w:val="20"/>
    </w:rPr>
  </w:style>
  <w:style w:styleId="Style_71_ch" w:type="character">
    <w:name w:val="ConsPlusNormal"/>
    <w:link w:val="Style_71"/>
    <w:rPr>
      <w:rFonts w:ascii="Arial" w:hAnsi="Arial"/>
      <w:color w:val="000000"/>
      <w:sz w:val="20"/>
    </w:rPr>
  </w:style>
  <w:style w:styleId="Style_72" w:type="paragraph">
    <w:name w:val="annotation subject"/>
    <w:basedOn w:val="Style_62"/>
    <w:next w:val="Style_62"/>
    <w:link w:val="Style_72_ch"/>
    <w:rPr>
      <w:b w:val="1"/>
    </w:rPr>
  </w:style>
  <w:style w:styleId="Style_72_ch" w:type="character">
    <w:name w:val="annotation subject"/>
    <w:basedOn w:val="Style_62_ch"/>
    <w:link w:val="Style_72"/>
    <w:rPr>
      <w:b w:val="1"/>
    </w:rPr>
  </w:style>
  <w:style w:styleId="Style_73" w:type="paragraph">
    <w:name w:val="Знак концевой сноски1"/>
    <w:link w:val="Style_73_ch"/>
    <w:rPr>
      <w:vertAlign w:val="superscript"/>
    </w:rPr>
  </w:style>
  <w:style w:styleId="Style_73_ch" w:type="character">
    <w:name w:val="Знак концевой сноски1"/>
    <w:link w:val="Style_73"/>
    <w:rPr>
      <w:vertAlign w:val="superscript"/>
    </w:rPr>
  </w:style>
  <w:style w:styleId="Style_74" w:type="paragraph">
    <w:name w:val="heading 2"/>
    <w:link w:val="Style_74_ch"/>
    <w:uiPriority w:val="9"/>
    <w:qFormat/>
    <w:pPr>
      <w:widowControl w:val="1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74_ch" w:type="character">
    <w:name w:val="heading 2"/>
    <w:link w:val="Style_74"/>
    <w:rPr>
      <w:rFonts w:asciiTheme="majorAscii" w:hAnsiTheme="majorHAnsi"/>
      <w:b w:val="1"/>
      <w:color w:themeColor="accent1" w:val="5B9BD5"/>
      <w:sz w:val="26"/>
    </w:rPr>
  </w:style>
  <w:style w:styleId="Style_75" w:type="paragraph">
    <w:name w:val="Нижний колонтитул1"/>
    <w:link w:val="Style_75_ch"/>
  </w:style>
  <w:style w:styleId="Style_75_ch" w:type="character">
    <w:name w:val="Нижний колонтитул1"/>
    <w:link w:val="Style_75"/>
  </w:style>
  <w:style w:styleId="Style_8" w:type="paragraph">
    <w:name w:val="Содержимое таблицы"/>
    <w:basedOn w:val="Style_9"/>
    <w:link w:val="Style_8_ch"/>
    <w:rPr>
      <w:color w:val="000000"/>
      <w:sz w:val="24"/>
    </w:rPr>
  </w:style>
  <w:style w:styleId="Style_8_ch" w:type="character">
    <w:name w:val="Содержимое таблицы"/>
    <w:basedOn w:val="Style_9_ch"/>
    <w:link w:val="Style_8"/>
    <w:rPr>
      <w:color w:val="000000"/>
      <w:sz w:val="24"/>
    </w:rPr>
  </w:style>
  <w:style w:styleId="Style_76" w:type="paragraph">
    <w:name w:val="Internet link"/>
    <w:link w:val="Style_76_ch"/>
    <w:pPr>
      <w:widowControl w:val="1"/>
      <w:spacing w:after="160" w:line="264" w:lineRule="auto"/>
      <w:ind/>
    </w:pPr>
    <w:rPr>
      <w:rFonts w:ascii="Calibri" w:hAnsi="Calibri"/>
      <w:color w:themeColor="hyperlink" w:val="0563C1"/>
      <w:u w:val="single"/>
    </w:rPr>
  </w:style>
  <w:style w:styleId="Style_76_ch" w:type="character">
    <w:name w:val="Internet link"/>
    <w:link w:val="Style_76"/>
    <w:rPr>
      <w:rFonts w:ascii="Calibri" w:hAnsi="Calibri"/>
      <w:color w:themeColor="hyperlink" w:val="0563C1"/>
      <w:u w:val="single"/>
    </w:rPr>
  </w:style>
  <w:style w:styleId="Style_77" w:type="paragraph">
    <w:name w:val="heading 6"/>
    <w:link w:val="Style_77_ch"/>
    <w:uiPriority w:val="9"/>
    <w:qFormat/>
    <w:pPr>
      <w:widowControl w:val="1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77_ch" w:type="character">
    <w:name w:val="heading 6"/>
    <w:link w:val="Style_77"/>
    <w:rPr>
      <w:rFonts w:asciiTheme="majorAscii" w:hAnsiTheme="majorHAnsi"/>
      <w:i w:val="1"/>
      <w:color w:themeColor="accent1" w:themeShade="7F" w:val="1F4E79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Сетка таблицы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2026-06-26T14:16:14Z</dcterms:created>
  <dcterms:modified xsi:type="dcterms:W3CDTF">2026-06-26T14:16:14Z</dcterms:modified>
</cp:coreProperties>
</file>