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58" w:rsidRPr="000113EC" w:rsidRDefault="009E6758" w:rsidP="00174F3C">
      <w:pPr>
        <w:spacing w:before="120" w:after="240"/>
        <w:ind w:left="15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13EC">
        <w:rPr>
          <w:rFonts w:ascii="Arial" w:hAnsi="Arial" w:cs="Arial"/>
          <w:sz w:val="24"/>
          <w:szCs w:val="24"/>
        </w:rPr>
        <w:t>Пресс-релиз</w:t>
      </w:r>
    </w:p>
    <w:p w:rsidR="000A2E64" w:rsidRDefault="009E6758" w:rsidP="00F5779C">
      <w:pPr>
        <w:spacing w:before="360" w:after="120" w:line="264" w:lineRule="auto"/>
        <w:ind w:left="851" w:hang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</w:t>
      </w:r>
      <w:r w:rsidRPr="009E6758">
        <w:rPr>
          <w:rFonts w:ascii="Arial" w:hAnsi="Arial" w:cs="Arial"/>
          <w:b/>
          <w:sz w:val="28"/>
          <w:szCs w:val="28"/>
        </w:rPr>
        <w:t xml:space="preserve">олее 500 образовательных мероприятий </w:t>
      </w:r>
      <w:r w:rsidR="00936283">
        <w:rPr>
          <w:rFonts w:ascii="Arial" w:hAnsi="Arial" w:cs="Arial"/>
          <w:b/>
          <w:sz w:val="28"/>
          <w:szCs w:val="28"/>
        </w:rPr>
        <w:t xml:space="preserve">по финансовой грамотности </w:t>
      </w:r>
      <w:r w:rsidR="000113EC">
        <w:rPr>
          <w:rFonts w:ascii="Arial" w:hAnsi="Arial" w:cs="Arial"/>
          <w:b/>
          <w:sz w:val="28"/>
          <w:szCs w:val="28"/>
        </w:rPr>
        <w:t xml:space="preserve">пройдут </w:t>
      </w:r>
      <w:r w:rsidR="00936283">
        <w:rPr>
          <w:rFonts w:ascii="Arial" w:hAnsi="Arial" w:cs="Arial"/>
          <w:b/>
          <w:sz w:val="28"/>
          <w:szCs w:val="28"/>
        </w:rPr>
        <w:t>в рамках</w:t>
      </w:r>
      <w:r w:rsidRPr="009E6758">
        <w:rPr>
          <w:rFonts w:ascii="Arial" w:hAnsi="Arial" w:cs="Arial"/>
          <w:b/>
          <w:sz w:val="28"/>
          <w:szCs w:val="28"/>
        </w:rPr>
        <w:t xml:space="preserve"> </w:t>
      </w:r>
      <w:r w:rsidR="00936283">
        <w:rPr>
          <w:rFonts w:ascii="Arial" w:hAnsi="Arial" w:cs="Arial"/>
          <w:b/>
          <w:sz w:val="28"/>
          <w:szCs w:val="28"/>
        </w:rPr>
        <w:t>второй Всероссийской н</w:t>
      </w:r>
      <w:r w:rsidRPr="009E6758">
        <w:rPr>
          <w:rFonts w:ascii="Arial" w:hAnsi="Arial" w:cs="Arial"/>
          <w:b/>
          <w:sz w:val="28"/>
          <w:szCs w:val="28"/>
        </w:rPr>
        <w:t>едели сбережений</w:t>
      </w:r>
    </w:p>
    <w:p w:rsidR="009E6758" w:rsidRPr="000113EC" w:rsidRDefault="009E6758" w:rsidP="00174F3C">
      <w:pPr>
        <w:spacing w:before="120" w:after="120" w:line="264" w:lineRule="auto"/>
        <w:ind w:left="851" w:firstLine="709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Москва</w:t>
      </w:r>
      <w:r w:rsidRPr="00F5779C">
        <w:rPr>
          <w:rFonts w:ascii="Arial" w:hAnsi="Arial" w:cs="Arial"/>
          <w:sz w:val="24"/>
          <w:szCs w:val="24"/>
        </w:rPr>
        <w:t xml:space="preserve">, </w:t>
      </w:r>
      <w:r w:rsidR="00443CBE">
        <w:rPr>
          <w:rFonts w:ascii="Arial" w:hAnsi="Arial" w:cs="Arial"/>
          <w:sz w:val="24"/>
          <w:szCs w:val="24"/>
        </w:rPr>
        <w:t>8</w:t>
      </w:r>
      <w:r w:rsidRPr="00F5779C">
        <w:rPr>
          <w:rFonts w:ascii="Arial" w:hAnsi="Arial" w:cs="Arial"/>
          <w:sz w:val="24"/>
          <w:szCs w:val="24"/>
        </w:rPr>
        <w:t xml:space="preserve"> </w:t>
      </w:r>
      <w:r w:rsidR="00936283" w:rsidRPr="00F5779C">
        <w:rPr>
          <w:rFonts w:ascii="Arial" w:hAnsi="Arial" w:cs="Arial"/>
          <w:sz w:val="24"/>
          <w:szCs w:val="24"/>
        </w:rPr>
        <w:t>октября</w:t>
      </w:r>
      <w:r w:rsidRPr="00F5779C">
        <w:rPr>
          <w:rFonts w:ascii="Arial" w:hAnsi="Arial" w:cs="Arial"/>
          <w:sz w:val="24"/>
          <w:szCs w:val="24"/>
        </w:rPr>
        <w:t xml:space="preserve"> 2015</w:t>
      </w:r>
      <w:r w:rsidRPr="000113EC">
        <w:rPr>
          <w:rFonts w:ascii="Arial" w:hAnsi="Arial" w:cs="Arial"/>
          <w:sz w:val="24"/>
          <w:szCs w:val="24"/>
        </w:rPr>
        <w:t> г.</w:t>
      </w:r>
    </w:p>
    <w:p w:rsidR="00A428A8" w:rsidRPr="000113EC" w:rsidRDefault="00A428A8" w:rsidP="00174F3C">
      <w:pPr>
        <w:spacing w:before="120" w:after="120" w:line="264" w:lineRule="auto"/>
        <w:ind w:left="851" w:firstLine="709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Масштабное событие</w:t>
      </w:r>
      <w:r w:rsidR="00936283" w:rsidRPr="000113EC">
        <w:rPr>
          <w:rFonts w:ascii="Arial" w:hAnsi="Arial" w:cs="Arial"/>
          <w:sz w:val="24"/>
          <w:szCs w:val="24"/>
        </w:rPr>
        <w:t xml:space="preserve"> </w:t>
      </w:r>
      <w:r w:rsidR="00CA14A8" w:rsidRPr="00367457">
        <w:rPr>
          <w:rFonts w:ascii="Arial" w:hAnsi="Arial" w:cs="Arial"/>
          <w:sz w:val="24"/>
          <w:szCs w:val="24"/>
        </w:rPr>
        <w:t>–</w:t>
      </w:r>
      <w:r w:rsidR="00CA14A8" w:rsidRPr="00CA14A8">
        <w:rPr>
          <w:rFonts w:ascii="Arial" w:hAnsi="Arial" w:cs="Arial"/>
          <w:sz w:val="24"/>
          <w:szCs w:val="24"/>
        </w:rPr>
        <w:t xml:space="preserve"> </w:t>
      </w:r>
      <w:r w:rsidRPr="000113EC">
        <w:rPr>
          <w:rFonts w:ascii="Arial" w:hAnsi="Arial" w:cs="Arial"/>
          <w:sz w:val="24"/>
          <w:szCs w:val="24"/>
        </w:rPr>
        <w:t xml:space="preserve">Всероссийская </w:t>
      </w:r>
      <w:r w:rsidR="00936283" w:rsidRPr="000113EC">
        <w:rPr>
          <w:rFonts w:ascii="Arial" w:hAnsi="Arial" w:cs="Arial"/>
          <w:sz w:val="24"/>
          <w:szCs w:val="24"/>
        </w:rPr>
        <w:t>н</w:t>
      </w:r>
      <w:r w:rsidRPr="000113EC">
        <w:rPr>
          <w:rFonts w:ascii="Arial" w:hAnsi="Arial" w:cs="Arial"/>
          <w:sz w:val="24"/>
          <w:szCs w:val="24"/>
        </w:rPr>
        <w:t xml:space="preserve">еделя сбережений </w:t>
      </w:r>
      <w:r w:rsidR="00CA14A8" w:rsidRPr="00367457">
        <w:rPr>
          <w:rFonts w:ascii="Arial" w:hAnsi="Arial" w:cs="Arial"/>
          <w:sz w:val="24"/>
          <w:szCs w:val="24"/>
        </w:rPr>
        <w:t>–</w:t>
      </w:r>
      <w:r w:rsidR="00936283" w:rsidRPr="000113EC">
        <w:rPr>
          <w:rFonts w:ascii="Arial" w:hAnsi="Arial" w:cs="Arial"/>
          <w:sz w:val="24"/>
          <w:szCs w:val="24"/>
        </w:rPr>
        <w:t xml:space="preserve"> </w:t>
      </w:r>
      <w:r w:rsidRPr="000113EC">
        <w:rPr>
          <w:rFonts w:ascii="Arial" w:hAnsi="Arial" w:cs="Arial"/>
          <w:sz w:val="24"/>
          <w:szCs w:val="24"/>
        </w:rPr>
        <w:t>пройдет с 23 по 31 октября</w:t>
      </w:r>
      <w:r w:rsidR="003A3744" w:rsidRPr="000113EC">
        <w:rPr>
          <w:rFonts w:ascii="Arial" w:hAnsi="Arial" w:cs="Arial"/>
          <w:sz w:val="24"/>
          <w:szCs w:val="24"/>
        </w:rPr>
        <w:t xml:space="preserve"> в 30 регионах России</w:t>
      </w:r>
      <w:r w:rsidR="00C0217E">
        <w:rPr>
          <w:rFonts w:ascii="Arial" w:hAnsi="Arial" w:cs="Arial"/>
          <w:sz w:val="24"/>
          <w:szCs w:val="24"/>
        </w:rPr>
        <w:t>.</w:t>
      </w:r>
      <w:r w:rsidR="00DB77DD">
        <w:rPr>
          <w:rFonts w:ascii="Arial" w:hAnsi="Arial" w:cs="Arial"/>
          <w:sz w:val="24"/>
          <w:szCs w:val="24"/>
        </w:rPr>
        <w:t xml:space="preserve"> В</w:t>
      </w:r>
      <w:r w:rsidRPr="000113EC">
        <w:rPr>
          <w:rFonts w:ascii="Arial" w:hAnsi="Arial" w:cs="Arial"/>
          <w:sz w:val="24"/>
          <w:szCs w:val="24"/>
        </w:rPr>
        <w:t xml:space="preserve"> мероприятиях Недели примут участие </w:t>
      </w:r>
      <w:r w:rsidR="00DB77DD">
        <w:rPr>
          <w:rFonts w:ascii="Arial" w:hAnsi="Arial" w:cs="Arial"/>
          <w:sz w:val="24"/>
          <w:szCs w:val="24"/>
        </w:rPr>
        <w:t xml:space="preserve">около </w:t>
      </w:r>
      <w:r w:rsidRPr="000113EC">
        <w:rPr>
          <w:rFonts w:ascii="Arial" w:hAnsi="Arial" w:cs="Arial"/>
          <w:sz w:val="24"/>
          <w:szCs w:val="24"/>
        </w:rPr>
        <w:t>1,5 миллион</w:t>
      </w:r>
      <w:r w:rsidR="00DB77DD">
        <w:rPr>
          <w:rFonts w:ascii="Arial" w:hAnsi="Arial" w:cs="Arial"/>
          <w:sz w:val="24"/>
          <w:szCs w:val="24"/>
        </w:rPr>
        <w:t>ов</w:t>
      </w:r>
      <w:r w:rsidRPr="000113EC">
        <w:rPr>
          <w:rFonts w:ascii="Arial" w:hAnsi="Arial" w:cs="Arial"/>
          <w:sz w:val="24"/>
          <w:szCs w:val="24"/>
        </w:rPr>
        <w:t xml:space="preserve"> россиян. </w:t>
      </w:r>
      <w:r w:rsidR="000113EC">
        <w:rPr>
          <w:rFonts w:ascii="Arial" w:hAnsi="Arial" w:cs="Arial"/>
          <w:sz w:val="24"/>
          <w:szCs w:val="24"/>
        </w:rPr>
        <w:t xml:space="preserve">Помимо обширной </w:t>
      </w:r>
      <w:r w:rsidR="003A3744" w:rsidRPr="000113EC">
        <w:rPr>
          <w:rFonts w:ascii="Arial" w:hAnsi="Arial" w:cs="Arial"/>
          <w:sz w:val="24"/>
          <w:szCs w:val="24"/>
        </w:rPr>
        <w:t>программ</w:t>
      </w:r>
      <w:r w:rsidR="000113EC">
        <w:rPr>
          <w:rFonts w:ascii="Arial" w:hAnsi="Arial" w:cs="Arial"/>
          <w:sz w:val="24"/>
          <w:szCs w:val="24"/>
        </w:rPr>
        <w:t>ы</w:t>
      </w:r>
      <w:r w:rsidR="003A3744" w:rsidRPr="000113EC">
        <w:rPr>
          <w:rFonts w:ascii="Arial" w:hAnsi="Arial" w:cs="Arial"/>
          <w:sz w:val="24"/>
          <w:szCs w:val="24"/>
        </w:rPr>
        <w:t xml:space="preserve"> </w:t>
      </w:r>
      <w:r w:rsidRPr="000113EC">
        <w:rPr>
          <w:rFonts w:ascii="Arial" w:hAnsi="Arial" w:cs="Arial"/>
          <w:sz w:val="24"/>
          <w:szCs w:val="24"/>
        </w:rPr>
        <w:t xml:space="preserve">очных мероприятий, </w:t>
      </w:r>
      <w:r w:rsidR="000113EC">
        <w:rPr>
          <w:rFonts w:ascii="Arial" w:hAnsi="Arial" w:cs="Arial"/>
          <w:sz w:val="24"/>
          <w:szCs w:val="24"/>
        </w:rPr>
        <w:t>гражданам будут предоставлены</w:t>
      </w:r>
      <w:r w:rsidRPr="000113EC">
        <w:rPr>
          <w:rFonts w:ascii="Arial" w:hAnsi="Arial" w:cs="Arial"/>
          <w:sz w:val="24"/>
          <w:szCs w:val="24"/>
        </w:rPr>
        <w:t xml:space="preserve"> разнообразные возможности для получения знаний дистанционно. Неделя проводится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0A2E64" w:rsidRPr="000113EC" w:rsidRDefault="000A2E64" w:rsidP="00F5779C">
      <w:pPr>
        <w:spacing w:before="12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Откроет Неделю сбережений Всероссийский экзамен по финансовой грамотности. В нем примут участие представители профессионального и академического сообществ, журналисты, блогеры, известные деятели культуры и искусства, спортсмены и обычные граждане.</w:t>
      </w:r>
    </w:p>
    <w:p w:rsidR="000A2E64" w:rsidRPr="000113EC" w:rsidRDefault="003A3744" w:rsidP="00F5779C">
      <w:pPr>
        <w:spacing w:before="12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О</w:t>
      </w:r>
      <w:r w:rsidR="000A2E64" w:rsidRPr="000113EC">
        <w:rPr>
          <w:rFonts w:ascii="Arial" w:hAnsi="Arial" w:cs="Arial"/>
          <w:sz w:val="24"/>
          <w:szCs w:val="24"/>
        </w:rPr>
        <w:t xml:space="preserve">бразовательные мероприятия </w:t>
      </w:r>
      <w:r w:rsidRPr="000113EC">
        <w:rPr>
          <w:rFonts w:ascii="Arial" w:hAnsi="Arial" w:cs="Arial"/>
          <w:sz w:val="24"/>
          <w:szCs w:val="24"/>
        </w:rPr>
        <w:t xml:space="preserve">Недели </w:t>
      </w:r>
      <w:r w:rsidR="000A2E64" w:rsidRPr="000113EC">
        <w:rPr>
          <w:rFonts w:ascii="Arial" w:hAnsi="Arial" w:cs="Arial"/>
          <w:sz w:val="24"/>
          <w:szCs w:val="24"/>
        </w:rPr>
        <w:t xml:space="preserve">включают в себя: лекции и семинары от ведущих экспертов; </w:t>
      </w:r>
      <w:r w:rsidR="008311F4" w:rsidRPr="000113EC">
        <w:rPr>
          <w:rFonts w:ascii="Arial" w:hAnsi="Arial" w:cs="Arial"/>
          <w:sz w:val="24"/>
          <w:szCs w:val="24"/>
        </w:rPr>
        <w:t xml:space="preserve">консультации специалистов </w:t>
      </w:r>
      <w:r w:rsidR="008311F4">
        <w:rPr>
          <w:rFonts w:ascii="Arial" w:hAnsi="Arial" w:cs="Arial"/>
          <w:sz w:val="24"/>
          <w:szCs w:val="24"/>
        </w:rPr>
        <w:t xml:space="preserve">на </w:t>
      </w:r>
      <w:r w:rsidR="008311F4" w:rsidRPr="000113EC">
        <w:rPr>
          <w:rFonts w:ascii="Arial" w:hAnsi="Arial" w:cs="Arial"/>
          <w:sz w:val="24"/>
          <w:szCs w:val="24"/>
        </w:rPr>
        <w:t>сайт</w:t>
      </w:r>
      <w:r w:rsidR="008311F4">
        <w:rPr>
          <w:rFonts w:ascii="Arial" w:hAnsi="Arial" w:cs="Arial"/>
          <w:sz w:val="24"/>
          <w:szCs w:val="24"/>
        </w:rPr>
        <w:t>е</w:t>
      </w:r>
      <w:r w:rsidR="008311F4" w:rsidRPr="000113EC">
        <w:rPr>
          <w:rFonts w:ascii="Arial" w:hAnsi="Arial" w:cs="Arial"/>
          <w:sz w:val="24"/>
          <w:szCs w:val="24"/>
        </w:rPr>
        <w:t xml:space="preserve"> Недели сбережений </w:t>
      </w:r>
      <w:hyperlink r:id="rId8" w:history="1">
        <w:r w:rsidR="00CA14A8" w:rsidRPr="00FE7225">
          <w:rPr>
            <w:rStyle w:val="ad"/>
            <w:rFonts w:ascii="Arial" w:hAnsi="Arial" w:cs="Arial"/>
            <w:sz w:val="24"/>
            <w:szCs w:val="24"/>
          </w:rPr>
          <w:t>www.sberden.ru</w:t>
        </w:r>
      </w:hyperlink>
      <w:r w:rsidR="00CA14A8">
        <w:rPr>
          <w:rFonts w:ascii="Arial" w:hAnsi="Arial" w:cs="Arial"/>
          <w:sz w:val="24"/>
          <w:szCs w:val="24"/>
        </w:rPr>
        <w:t xml:space="preserve"> и на оф</w:t>
      </w:r>
      <w:r w:rsidR="008311F4" w:rsidRPr="000113EC">
        <w:rPr>
          <w:rFonts w:ascii="Arial" w:hAnsi="Arial" w:cs="Arial"/>
          <w:sz w:val="24"/>
          <w:szCs w:val="24"/>
        </w:rPr>
        <w:t xml:space="preserve">лайн-площадках; </w:t>
      </w:r>
      <w:r w:rsidR="000A2E64" w:rsidRPr="000113EC">
        <w:rPr>
          <w:rFonts w:ascii="Arial" w:hAnsi="Arial" w:cs="Arial"/>
          <w:sz w:val="24"/>
          <w:szCs w:val="24"/>
        </w:rPr>
        <w:t xml:space="preserve">тренинги; семинары для родителей и игры по финансовой грамотности для детей; семинары-практикумы «Диагностика финансового здоровья» для женщин; открытые лекции в </w:t>
      </w:r>
      <w:r w:rsidR="00CA14A8">
        <w:rPr>
          <w:rFonts w:ascii="Arial" w:hAnsi="Arial" w:cs="Arial"/>
          <w:sz w:val="24"/>
          <w:szCs w:val="24"/>
        </w:rPr>
        <w:t>вуз</w:t>
      </w:r>
      <w:r w:rsidR="000A2E64" w:rsidRPr="000113EC">
        <w:rPr>
          <w:rFonts w:ascii="Arial" w:hAnsi="Arial" w:cs="Arial"/>
          <w:sz w:val="24"/>
          <w:szCs w:val="24"/>
        </w:rPr>
        <w:t xml:space="preserve">ах и образовательных центрах; мастер-классы. </w:t>
      </w:r>
    </w:p>
    <w:p w:rsidR="00A428A8" w:rsidRPr="000113EC" w:rsidRDefault="00A428A8" w:rsidP="00F5779C">
      <w:pPr>
        <w:spacing w:before="12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 xml:space="preserve">«Сложная ситуация в экономике привела к тому, что россияне сегодня </w:t>
      </w:r>
      <w:r w:rsidR="008311F4">
        <w:rPr>
          <w:rFonts w:ascii="Arial" w:hAnsi="Arial" w:cs="Arial"/>
          <w:sz w:val="24"/>
          <w:szCs w:val="24"/>
        </w:rPr>
        <w:t xml:space="preserve">меньше </w:t>
      </w:r>
      <w:r w:rsidRPr="000113EC">
        <w:rPr>
          <w:rFonts w:ascii="Arial" w:hAnsi="Arial" w:cs="Arial"/>
          <w:sz w:val="24"/>
          <w:szCs w:val="24"/>
        </w:rPr>
        <w:t>сберега</w:t>
      </w:r>
      <w:r w:rsidR="008311F4">
        <w:rPr>
          <w:rFonts w:ascii="Arial" w:hAnsi="Arial" w:cs="Arial"/>
          <w:sz w:val="24"/>
          <w:szCs w:val="24"/>
        </w:rPr>
        <w:t>ю</w:t>
      </w:r>
      <w:r w:rsidRPr="000113EC">
        <w:rPr>
          <w:rFonts w:ascii="Arial" w:hAnsi="Arial" w:cs="Arial"/>
          <w:sz w:val="24"/>
          <w:szCs w:val="24"/>
        </w:rPr>
        <w:t xml:space="preserve">т. Но в любых обстоятельствах, независимо от уровня личного дохода, в ведении семейного бюджета </w:t>
      </w:r>
      <w:r w:rsidR="008311F4">
        <w:rPr>
          <w:rFonts w:ascii="Arial" w:hAnsi="Arial" w:cs="Arial"/>
          <w:sz w:val="24"/>
          <w:szCs w:val="24"/>
        </w:rPr>
        <w:t xml:space="preserve">должны присутствовать </w:t>
      </w:r>
      <w:r w:rsidRPr="000113EC">
        <w:rPr>
          <w:rFonts w:ascii="Arial" w:hAnsi="Arial" w:cs="Arial"/>
          <w:sz w:val="24"/>
          <w:szCs w:val="24"/>
        </w:rPr>
        <w:t>сбережени</w:t>
      </w:r>
      <w:r w:rsidR="008311F4">
        <w:rPr>
          <w:rFonts w:ascii="Arial" w:hAnsi="Arial" w:cs="Arial"/>
          <w:sz w:val="24"/>
          <w:szCs w:val="24"/>
        </w:rPr>
        <w:t>я</w:t>
      </w:r>
      <w:r w:rsidRPr="000113EC">
        <w:rPr>
          <w:rFonts w:ascii="Arial" w:hAnsi="Arial" w:cs="Arial"/>
          <w:sz w:val="24"/>
          <w:szCs w:val="24"/>
        </w:rPr>
        <w:t xml:space="preserve">, </w:t>
      </w:r>
      <w:r w:rsidR="008311F4">
        <w:rPr>
          <w:rFonts w:ascii="Arial" w:hAnsi="Arial" w:cs="Arial"/>
          <w:sz w:val="24"/>
          <w:szCs w:val="24"/>
        </w:rPr>
        <w:t xml:space="preserve">включая </w:t>
      </w:r>
      <w:r w:rsidRPr="000113EC">
        <w:rPr>
          <w:rFonts w:ascii="Arial" w:hAnsi="Arial" w:cs="Arial"/>
          <w:sz w:val="24"/>
          <w:szCs w:val="24"/>
        </w:rPr>
        <w:t xml:space="preserve"> финансов</w:t>
      </w:r>
      <w:r w:rsidR="008311F4">
        <w:rPr>
          <w:rFonts w:ascii="Arial" w:hAnsi="Arial" w:cs="Arial"/>
          <w:sz w:val="24"/>
          <w:szCs w:val="24"/>
        </w:rPr>
        <w:t>ую</w:t>
      </w:r>
      <w:r w:rsidRPr="000113EC">
        <w:rPr>
          <w:rFonts w:ascii="Arial" w:hAnsi="Arial" w:cs="Arial"/>
          <w:sz w:val="24"/>
          <w:szCs w:val="24"/>
        </w:rPr>
        <w:t xml:space="preserve"> «подушк</w:t>
      </w:r>
      <w:r w:rsidR="008311F4">
        <w:rPr>
          <w:rFonts w:ascii="Arial" w:hAnsi="Arial" w:cs="Arial"/>
          <w:sz w:val="24"/>
          <w:szCs w:val="24"/>
        </w:rPr>
        <w:t>у</w:t>
      </w:r>
      <w:r w:rsidRPr="000113EC">
        <w:rPr>
          <w:rFonts w:ascii="Arial" w:hAnsi="Arial" w:cs="Arial"/>
          <w:sz w:val="24"/>
          <w:szCs w:val="24"/>
        </w:rPr>
        <w:t xml:space="preserve"> безопасности», </w:t>
      </w:r>
      <w:r w:rsidR="00CA14A8" w:rsidRPr="00367457">
        <w:rPr>
          <w:rFonts w:ascii="Arial" w:hAnsi="Arial" w:cs="Arial"/>
          <w:sz w:val="24"/>
          <w:szCs w:val="24"/>
        </w:rPr>
        <w:t>–</w:t>
      </w:r>
      <w:r w:rsidRPr="000113EC">
        <w:rPr>
          <w:rFonts w:ascii="Arial" w:hAnsi="Arial" w:cs="Arial"/>
          <w:sz w:val="24"/>
          <w:szCs w:val="24"/>
        </w:rPr>
        <w:t xml:space="preserve"> говорит директор Проекта Андрей Бокарев. </w:t>
      </w:r>
      <w:r w:rsidR="00CA14A8" w:rsidRPr="00367457">
        <w:rPr>
          <w:rFonts w:ascii="Arial" w:hAnsi="Arial" w:cs="Arial"/>
          <w:sz w:val="24"/>
          <w:szCs w:val="24"/>
        </w:rPr>
        <w:t>–</w:t>
      </w:r>
      <w:r w:rsidRPr="000113EC">
        <w:rPr>
          <w:rFonts w:ascii="Arial" w:hAnsi="Arial" w:cs="Arial"/>
          <w:sz w:val="24"/>
          <w:szCs w:val="24"/>
        </w:rPr>
        <w:t xml:space="preserve"> Во всем мире </w:t>
      </w:r>
      <w:r w:rsidR="008311F4">
        <w:rPr>
          <w:rFonts w:ascii="Arial" w:hAnsi="Arial" w:cs="Arial"/>
          <w:sz w:val="24"/>
          <w:szCs w:val="24"/>
        </w:rPr>
        <w:t>проведение Недел</w:t>
      </w:r>
      <w:r w:rsidR="00CA14A8">
        <w:rPr>
          <w:rFonts w:ascii="Arial" w:hAnsi="Arial" w:cs="Arial"/>
          <w:sz w:val="24"/>
          <w:szCs w:val="24"/>
        </w:rPr>
        <w:t>ь</w:t>
      </w:r>
      <w:r w:rsidR="008311F4">
        <w:rPr>
          <w:rFonts w:ascii="Arial" w:hAnsi="Arial" w:cs="Arial"/>
          <w:sz w:val="24"/>
          <w:szCs w:val="24"/>
        </w:rPr>
        <w:t xml:space="preserve"> </w:t>
      </w:r>
      <w:r w:rsidRPr="000113EC">
        <w:rPr>
          <w:rFonts w:ascii="Arial" w:hAnsi="Arial" w:cs="Arial"/>
          <w:sz w:val="24"/>
          <w:szCs w:val="24"/>
        </w:rPr>
        <w:t>финансовой грамотности признан</w:t>
      </w:r>
      <w:r w:rsidR="00CA14A8">
        <w:rPr>
          <w:rFonts w:ascii="Arial" w:hAnsi="Arial" w:cs="Arial"/>
          <w:sz w:val="24"/>
          <w:szCs w:val="24"/>
        </w:rPr>
        <w:t>о</w:t>
      </w:r>
      <w:r w:rsidRPr="000113EC">
        <w:rPr>
          <w:rFonts w:ascii="Arial" w:hAnsi="Arial" w:cs="Arial"/>
          <w:sz w:val="24"/>
          <w:szCs w:val="24"/>
        </w:rPr>
        <w:t xml:space="preserve"> одним из наиболее эффективных способов массового вовлечения взрослого населения в</w:t>
      </w:r>
      <w:r w:rsidR="00CA14A8">
        <w:rPr>
          <w:rFonts w:ascii="Arial" w:hAnsi="Arial" w:cs="Arial"/>
          <w:sz w:val="24"/>
          <w:szCs w:val="24"/>
        </w:rPr>
        <w:t xml:space="preserve"> </w:t>
      </w:r>
      <w:r w:rsidR="008311F4">
        <w:rPr>
          <w:rFonts w:ascii="Arial" w:hAnsi="Arial" w:cs="Arial"/>
          <w:sz w:val="24"/>
          <w:szCs w:val="24"/>
        </w:rPr>
        <w:t>собственное финансовое образование</w:t>
      </w:r>
      <w:r w:rsidRPr="000113EC">
        <w:rPr>
          <w:rFonts w:ascii="Arial" w:hAnsi="Arial" w:cs="Arial"/>
          <w:sz w:val="24"/>
          <w:szCs w:val="24"/>
        </w:rPr>
        <w:t xml:space="preserve">. В рамках Недели сбережений россиянам </w:t>
      </w:r>
      <w:r w:rsidR="008311F4">
        <w:rPr>
          <w:rFonts w:ascii="Arial" w:hAnsi="Arial" w:cs="Arial"/>
          <w:sz w:val="24"/>
          <w:szCs w:val="24"/>
        </w:rPr>
        <w:t xml:space="preserve">будут </w:t>
      </w:r>
      <w:r w:rsidRPr="000113EC">
        <w:rPr>
          <w:rFonts w:ascii="Arial" w:hAnsi="Arial" w:cs="Arial"/>
          <w:sz w:val="24"/>
          <w:szCs w:val="24"/>
        </w:rPr>
        <w:t>предлож</w:t>
      </w:r>
      <w:r w:rsidR="008311F4">
        <w:rPr>
          <w:rFonts w:ascii="Arial" w:hAnsi="Arial" w:cs="Arial"/>
          <w:sz w:val="24"/>
          <w:szCs w:val="24"/>
        </w:rPr>
        <w:t>ены</w:t>
      </w:r>
      <w:r w:rsidRPr="000113EC">
        <w:rPr>
          <w:rFonts w:ascii="Arial" w:hAnsi="Arial" w:cs="Arial"/>
          <w:sz w:val="24"/>
          <w:szCs w:val="24"/>
        </w:rPr>
        <w:t xml:space="preserve"> широкие возможности самостоятельного получения знаний, доступ к семинарам, консультациям, информационно-образовательным материалам, полезным в решении насущных </w:t>
      </w:r>
      <w:r w:rsidR="008311F4">
        <w:rPr>
          <w:rFonts w:ascii="Arial" w:hAnsi="Arial" w:cs="Arial"/>
          <w:sz w:val="24"/>
          <w:szCs w:val="24"/>
        </w:rPr>
        <w:t>финансовых вопросов</w:t>
      </w:r>
      <w:r w:rsidRPr="000113EC">
        <w:rPr>
          <w:rFonts w:ascii="Arial" w:hAnsi="Arial" w:cs="Arial"/>
          <w:sz w:val="24"/>
          <w:szCs w:val="24"/>
        </w:rPr>
        <w:t>».</w:t>
      </w:r>
    </w:p>
    <w:p w:rsidR="00237EDE" w:rsidRPr="000113EC" w:rsidRDefault="00237EDE" w:rsidP="00F5779C">
      <w:pPr>
        <w:spacing w:before="12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 xml:space="preserve">Образовательные программы, доступные в рамках Недели сбережений, позволят участникам научиться достигать финансовых целей, сберегать и управлять бюджетом, </w:t>
      </w:r>
      <w:r w:rsidR="008311F4">
        <w:rPr>
          <w:rFonts w:ascii="Arial" w:hAnsi="Arial" w:cs="Arial"/>
          <w:sz w:val="24"/>
          <w:szCs w:val="24"/>
        </w:rPr>
        <w:t xml:space="preserve">рационально </w:t>
      </w:r>
      <w:r w:rsidRPr="000113EC">
        <w:rPr>
          <w:rFonts w:ascii="Arial" w:hAnsi="Arial" w:cs="Arial"/>
          <w:sz w:val="24"/>
          <w:szCs w:val="24"/>
        </w:rPr>
        <w:t xml:space="preserve">управлять кредитной нагрузкой, обеспечивать </w:t>
      </w:r>
      <w:r w:rsidRPr="000113EC">
        <w:rPr>
          <w:rFonts w:ascii="Arial" w:hAnsi="Arial" w:cs="Arial"/>
          <w:sz w:val="24"/>
          <w:szCs w:val="24"/>
        </w:rPr>
        <w:lastRenderedPageBreak/>
        <w:t xml:space="preserve">надежную профилактику финансовых рисков, а также эффективно защищать собственные права потребителей финансовых услуг. </w:t>
      </w:r>
    </w:p>
    <w:p w:rsidR="000A2E64" w:rsidRPr="008311F4" w:rsidRDefault="003A3744" w:rsidP="008311F4">
      <w:pPr>
        <w:spacing w:before="24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На официальном сайте Недели</w:t>
      </w:r>
      <w:r w:rsidR="00A428A8" w:rsidRPr="000113E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A14A8" w:rsidRPr="00FE7225">
          <w:rPr>
            <w:rStyle w:val="ad"/>
            <w:rFonts w:ascii="Arial" w:hAnsi="Arial" w:cs="Arial"/>
            <w:sz w:val="24"/>
            <w:szCs w:val="24"/>
          </w:rPr>
          <w:t>www.sberden.ru</w:t>
        </w:r>
      </w:hyperlink>
      <w:r w:rsidR="00A428A8" w:rsidRPr="000113EC">
        <w:rPr>
          <w:rFonts w:ascii="Arial" w:hAnsi="Arial" w:cs="Arial"/>
          <w:sz w:val="24"/>
          <w:szCs w:val="24"/>
        </w:rPr>
        <w:t xml:space="preserve"> </w:t>
      </w:r>
      <w:r w:rsidRPr="000113EC">
        <w:rPr>
          <w:rFonts w:ascii="Arial" w:hAnsi="Arial" w:cs="Arial"/>
          <w:sz w:val="24"/>
          <w:szCs w:val="24"/>
        </w:rPr>
        <w:t xml:space="preserve">можно </w:t>
      </w:r>
      <w:r w:rsidR="00A428A8" w:rsidRPr="000113EC">
        <w:rPr>
          <w:rFonts w:ascii="Arial" w:hAnsi="Arial" w:cs="Arial"/>
          <w:sz w:val="24"/>
          <w:szCs w:val="24"/>
        </w:rPr>
        <w:t xml:space="preserve">найти информацию о </w:t>
      </w:r>
      <w:r w:rsidRPr="000113EC">
        <w:rPr>
          <w:rFonts w:ascii="Arial" w:hAnsi="Arial" w:cs="Arial"/>
          <w:sz w:val="24"/>
          <w:szCs w:val="24"/>
        </w:rPr>
        <w:t xml:space="preserve">доступных </w:t>
      </w:r>
      <w:r w:rsidR="00A428A8" w:rsidRPr="000113EC">
        <w:rPr>
          <w:rFonts w:ascii="Arial" w:hAnsi="Arial" w:cs="Arial"/>
          <w:sz w:val="24"/>
          <w:szCs w:val="24"/>
        </w:rPr>
        <w:t>мероприятиях</w:t>
      </w:r>
      <w:r w:rsidRPr="000113EC">
        <w:rPr>
          <w:rFonts w:ascii="Arial" w:hAnsi="Arial" w:cs="Arial"/>
          <w:sz w:val="24"/>
          <w:szCs w:val="24"/>
        </w:rPr>
        <w:t xml:space="preserve"> и зарегистрироваться на</w:t>
      </w:r>
      <w:r w:rsidR="00443CBE">
        <w:rPr>
          <w:rFonts w:ascii="Arial" w:hAnsi="Arial" w:cs="Arial"/>
          <w:sz w:val="24"/>
          <w:szCs w:val="24"/>
        </w:rPr>
        <w:t xml:space="preserve"> участие в</w:t>
      </w:r>
      <w:r w:rsidRPr="000113EC">
        <w:rPr>
          <w:rFonts w:ascii="Arial" w:hAnsi="Arial" w:cs="Arial"/>
          <w:sz w:val="24"/>
          <w:szCs w:val="24"/>
        </w:rPr>
        <w:t xml:space="preserve"> них</w:t>
      </w:r>
      <w:r w:rsidR="00A428A8" w:rsidRPr="000113EC">
        <w:rPr>
          <w:rFonts w:ascii="Arial" w:hAnsi="Arial" w:cs="Arial"/>
          <w:sz w:val="24"/>
          <w:szCs w:val="24"/>
        </w:rPr>
        <w:t xml:space="preserve">, </w:t>
      </w:r>
      <w:r w:rsidR="00DB77DD">
        <w:rPr>
          <w:rFonts w:ascii="Arial" w:hAnsi="Arial" w:cs="Arial"/>
          <w:sz w:val="24"/>
          <w:szCs w:val="24"/>
        </w:rPr>
        <w:t xml:space="preserve">а также </w:t>
      </w:r>
      <w:r w:rsidR="00A428A8" w:rsidRPr="000113EC">
        <w:rPr>
          <w:rFonts w:ascii="Arial" w:hAnsi="Arial" w:cs="Arial"/>
          <w:sz w:val="24"/>
          <w:szCs w:val="24"/>
        </w:rPr>
        <w:t>получить доступ к онлайн-библиотеке</w:t>
      </w:r>
      <w:r w:rsidR="00EB131D" w:rsidRPr="000113EC">
        <w:rPr>
          <w:rFonts w:ascii="Arial" w:hAnsi="Arial" w:cs="Arial"/>
          <w:sz w:val="24"/>
          <w:szCs w:val="24"/>
        </w:rPr>
        <w:t xml:space="preserve"> материалов</w:t>
      </w:r>
      <w:r w:rsidR="00A428A8" w:rsidRPr="000113EC">
        <w:rPr>
          <w:rFonts w:ascii="Arial" w:hAnsi="Arial" w:cs="Arial"/>
          <w:sz w:val="24"/>
          <w:szCs w:val="24"/>
        </w:rPr>
        <w:t xml:space="preserve">, </w:t>
      </w:r>
      <w:r w:rsidR="003A6769">
        <w:rPr>
          <w:rFonts w:ascii="Arial" w:hAnsi="Arial" w:cs="Arial"/>
          <w:sz w:val="24"/>
          <w:szCs w:val="24"/>
        </w:rPr>
        <w:t xml:space="preserve">в том числе </w:t>
      </w:r>
      <w:r w:rsidR="00443CBE">
        <w:rPr>
          <w:rFonts w:ascii="Arial" w:hAnsi="Arial" w:cs="Arial"/>
          <w:sz w:val="24"/>
          <w:szCs w:val="24"/>
        </w:rPr>
        <w:t xml:space="preserve">к </w:t>
      </w:r>
      <w:r w:rsidR="00A428A8" w:rsidRPr="000113EC">
        <w:rPr>
          <w:rFonts w:ascii="Arial" w:hAnsi="Arial" w:cs="Arial"/>
          <w:sz w:val="24"/>
          <w:szCs w:val="24"/>
        </w:rPr>
        <w:t xml:space="preserve">30 образовательным модулям </w:t>
      </w:r>
      <w:r w:rsidR="008311F4">
        <w:rPr>
          <w:rFonts w:ascii="Arial" w:hAnsi="Arial" w:cs="Arial"/>
          <w:sz w:val="24"/>
          <w:szCs w:val="24"/>
        </w:rPr>
        <w:t xml:space="preserve">по различным областям управления личными финансами </w:t>
      </w:r>
      <w:r w:rsidR="003A6769">
        <w:rPr>
          <w:rFonts w:ascii="Arial" w:hAnsi="Arial" w:cs="Arial"/>
          <w:sz w:val="24"/>
          <w:szCs w:val="24"/>
        </w:rPr>
        <w:t xml:space="preserve">и </w:t>
      </w:r>
      <w:r w:rsidR="00A428A8" w:rsidRPr="000113EC">
        <w:rPr>
          <w:rFonts w:ascii="Arial" w:hAnsi="Arial" w:cs="Arial"/>
          <w:sz w:val="24"/>
          <w:szCs w:val="24"/>
        </w:rPr>
        <w:t>другим возможностям</w:t>
      </w:r>
      <w:r w:rsidR="008311F4">
        <w:rPr>
          <w:rFonts w:ascii="Arial" w:hAnsi="Arial" w:cs="Arial"/>
          <w:sz w:val="24"/>
          <w:szCs w:val="24"/>
        </w:rPr>
        <w:t xml:space="preserve"> самообразования</w:t>
      </w:r>
      <w:r w:rsidR="00A66AA1">
        <w:rPr>
          <w:rFonts w:ascii="Arial" w:hAnsi="Arial" w:cs="Arial"/>
          <w:sz w:val="24"/>
          <w:szCs w:val="24"/>
        </w:rPr>
        <w:t xml:space="preserve"> и дистан</w:t>
      </w:r>
      <w:r w:rsidR="003A6769">
        <w:rPr>
          <w:rFonts w:ascii="Arial" w:hAnsi="Arial" w:cs="Arial"/>
          <w:sz w:val="24"/>
          <w:szCs w:val="24"/>
        </w:rPr>
        <w:t>ционного</w:t>
      </w:r>
      <w:r w:rsidR="00A66AA1">
        <w:rPr>
          <w:rFonts w:ascii="Arial" w:hAnsi="Arial" w:cs="Arial"/>
          <w:sz w:val="24"/>
          <w:szCs w:val="24"/>
        </w:rPr>
        <w:t xml:space="preserve"> обучения</w:t>
      </w:r>
      <w:r w:rsidR="00A428A8" w:rsidRPr="000113EC">
        <w:rPr>
          <w:rFonts w:ascii="Arial" w:hAnsi="Arial" w:cs="Arial"/>
          <w:sz w:val="24"/>
          <w:szCs w:val="24"/>
        </w:rPr>
        <w:t>.</w:t>
      </w:r>
    </w:p>
    <w:p w:rsidR="00DF636B" w:rsidRPr="000113EC" w:rsidRDefault="00EB131D" w:rsidP="00F5779C">
      <w:pPr>
        <w:spacing w:before="120" w:after="120" w:line="264" w:lineRule="auto"/>
        <w:ind w:left="851" w:firstLine="707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Первая</w:t>
      </w:r>
      <w:r w:rsidR="00443CBE">
        <w:rPr>
          <w:rFonts w:ascii="Arial" w:hAnsi="Arial" w:cs="Arial"/>
          <w:sz w:val="24"/>
          <w:szCs w:val="24"/>
        </w:rPr>
        <w:t xml:space="preserve"> Всероссийская н</w:t>
      </w:r>
      <w:r w:rsidR="00A428A8" w:rsidRPr="000113EC">
        <w:rPr>
          <w:rFonts w:ascii="Arial" w:hAnsi="Arial" w:cs="Arial"/>
          <w:sz w:val="24"/>
          <w:szCs w:val="24"/>
        </w:rPr>
        <w:t xml:space="preserve">еделя сбережений состоялась в прошлом году. Всего было организовано более 120 мероприятий различного формата, которые проходили в 11 регионах страны. Неделя </w:t>
      </w:r>
      <w:r w:rsidRPr="000113EC">
        <w:rPr>
          <w:rFonts w:ascii="Arial" w:hAnsi="Arial" w:cs="Arial"/>
          <w:sz w:val="24"/>
          <w:szCs w:val="24"/>
        </w:rPr>
        <w:t xml:space="preserve">сбережений </w:t>
      </w:r>
      <w:r w:rsidR="00A428A8" w:rsidRPr="000113EC">
        <w:rPr>
          <w:rFonts w:ascii="Arial" w:hAnsi="Arial" w:cs="Arial"/>
          <w:sz w:val="24"/>
          <w:szCs w:val="24"/>
        </w:rPr>
        <w:t xml:space="preserve">приурочена к Международному </w:t>
      </w:r>
      <w:r w:rsidRPr="000113EC">
        <w:rPr>
          <w:rFonts w:ascii="Arial" w:hAnsi="Arial" w:cs="Arial"/>
          <w:sz w:val="24"/>
          <w:szCs w:val="24"/>
        </w:rPr>
        <w:t>д</w:t>
      </w:r>
      <w:r w:rsidR="00A428A8" w:rsidRPr="000113EC">
        <w:rPr>
          <w:rFonts w:ascii="Arial" w:hAnsi="Arial" w:cs="Arial"/>
          <w:sz w:val="24"/>
          <w:szCs w:val="24"/>
        </w:rPr>
        <w:t>ню сбережений, который проводится по всему миру ежегодно 31 октября.</w:t>
      </w:r>
    </w:p>
    <w:p w:rsidR="009E6758" w:rsidRPr="000113EC" w:rsidRDefault="009E6758" w:rsidP="00F5779C">
      <w:pPr>
        <w:keepNext/>
        <w:spacing w:before="240" w:line="264" w:lineRule="auto"/>
        <w:ind w:left="851" w:hanging="1"/>
        <w:jc w:val="center"/>
        <w:rPr>
          <w:rFonts w:ascii="Arial" w:hAnsi="Arial" w:cs="Arial"/>
          <w:color w:val="016B24"/>
          <w:sz w:val="24"/>
          <w:szCs w:val="24"/>
        </w:rPr>
      </w:pPr>
      <w:r w:rsidRPr="000113EC">
        <w:rPr>
          <w:rFonts w:ascii="Arial" w:hAnsi="Arial" w:cs="Arial"/>
          <w:color w:val="016B24"/>
          <w:sz w:val="24"/>
          <w:szCs w:val="24"/>
        </w:rPr>
        <w:t>***</w:t>
      </w:r>
    </w:p>
    <w:p w:rsidR="009E6758" w:rsidRDefault="009E6758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sz w:val="24"/>
          <w:szCs w:val="24"/>
        </w:rPr>
      </w:pPr>
      <w:r w:rsidRPr="000113EC">
        <w:rPr>
          <w:rFonts w:ascii="Arial" w:hAnsi="Arial" w:cs="Arial"/>
          <w:sz w:val="24"/>
          <w:szCs w:val="24"/>
        </w:rPr>
        <w:t>Целью Проекта Минфина России «Содействие повышению уровня финансовой грамотности населения и развитию финансового образования в Российской Федерации» является повышение финансовой грамотности российских граждан, содействие формированию у населения ответственного отношения к личным финансам и разумного финансового поведения, а также совершенствование защиты прав потребителей финансовых услуг.</w:t>
      </w:r>
    </w:p>
    <w:p w:rsidR="008A6C19" w:rsidRDefault="008A6C19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sz w:val="24"/>
          <w:szCs w:val="24"/>
        </w:rPr>
      </w:pPr>
    </w:p>
    <w:p w:rsidR="008A6C19" w:rsidRPr="006B11D2" w:rsidRDefault="00EC0A2E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b/>
          <w:sz w:val="24"/>
          <w:szCs w:val="24"/>
        </w:rPr>
      </w:pPr>
      <w:r w:rsidRPr="006B11D2">
        <w:rPr>
          <w:rFonts w:ascii="Arial" w:hAnsi="Arial" w:cs="Arial"/>
          <w:b/>
          <w:sz w:val="24"/>
          <w:szCs w:val="24"/>
        </w:rPr>
        <w:t>Официальные партнеры Всероссийской недели сбережений:</w:t>
      </w:r>
    </w:p>
    <w:p w:rsidR="00EC0A2E" w:rsidRDefault="00EC0A2E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sz w:val="24"/>
          <w:szCs w:val="24"/>
        </w:rPr>
      </w:pPr>
      <w:proofErr w:type="gramStart"/>
      <w:r w:rsidRPr="00EC0A2E">
        <w:rPr>
          <w:rFonts w:ascii="Arial" w:hAnsi="Arial" w:cs="Arial"/>
          <w:sz w:val="24"/>
          <w:szCs w:val="24"/>
        </w:rPr>
        <w:t>АКИБАНК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="00523E6D" w:rsidRPr="00523E6D">
        <w:rPr>
          <w:rFonts w:ascii="Arial" w:hAnsi="Arial" w:cs="Arial"/>
          <w:sz w:val="24"/>
          <w:szCs w:val="24"/>
        </w:rPr>
        <w:t xml:space="preserve">АО </w:t>
      </w:r>
      <w:r w:rsidR="00523E6D">
        <w:rPr>
          <w:rFonts w:ascii="Arial" w:hAnsi="Arial" w:cs="Arial"/>
          <w:sz w:val="24"/>
          <w:szCs w:val="24"/>
        </w:rPr>
        <w:t>«</w:t>
      </w:r>
      <w:r w:rsidR="00523E6D" w:rsidRPr="00523E6D">
        <w:rPr>
          <w:rFonts w:ascii="Arial" w:hAnsi="Arial" w:cs="Arial"/>
          <w:sz w:val="24"/>
          <w:szCs w:val="24"/>
        </w:rPr>
        <w:t>Альфа-Банк</w:t>
      </w:r>
      <w:r w:rsidR="00523E6D">
        <w:rPr>
          <w:rFonts w:ascii="Arial" w:hAnsi="Arial" w:cs="Arial"/>
          <w:sz w:val="24"/>
          <w:szCs w:val="24"/>
        </w:rPr>
        <w:t>»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 xml:space="preserve">ПАО </w:t>
      </w:r>
      <w:r>
        <w:rPr>
          <w:rFonts w:ascii="Arial" w:hAnsi="Arial" w:cs="Arial"/>
          <w:sz w:val="24"/>
          <w:szCs w:val="24"/>
        </w:rPr>
        <w:t>«</w:t>
      </w:r>
      <w:r w:rsidRPr="00EC0A2E">
        <w:rPr>
          <w:rFonts w:ascii="Arial" w:hAnsi="Arial" w:cs="Arial"/>
          <w:sz w:val="24"/>
          <w:szCs w:val="24"/>
        </w:rPr>
        <w:t>БАЛТИНВЕСТБАНК</w:t>
      </w:r>
      <w:r>
        <w:rPr>
          <w:rFonts w:ascii="Arial" w:hAnsi="Arial" w:cs="Arial"/>
          <w:sz w:val="24"/>
          <w:szCs w:val="24"/>
        </w:rPr>
        <w:t>»</w:t>
      </w:r>
      <w:r w:rsidR="006B11D2">
        <w:rPr>
          <w:rFonts w:ascii="Arial" w:hAnsi="Arial" w:cs="Arial"/>
          <w:sz w:val="24"/>
          <w:szCs w:val="24"/>
        </w:rPr>
        <w:t xml:space="preserve">, Банк «Возрождение», </w:t>
      </w:r>
      <w:r w:rsidR="006B11D2" w:rsidRPr="006B11D2">
        <w:rPr>
          <w:rFonts w:ascii="Arial" w:hAnsi="Arial" w:cs="Arial"/>
          <w:sz w:val="24"/>
          <w:szCs w:val="24"/>
        </w:rPr>
        <w:t>Группа Генеральных Агентов (ГГА)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>КБ «Кубань Кредит» ООО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>«Лето Банк»</w:t>
      </w:r>
      <w:r w:rsidR="006B1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11D2" w:rsidRPr="006B11D2">
        <w:rPr>
          <w:rFonts w:ascii="Arial" w:hAnsi="Arial" w:cs="Arial"/>
          <w:sz w:val="24"/>
          <w:szCs w:val="24"/>
        </w:rPr>
        <w:t>МетЛайф</w:t>
      </w:r>
      <w:proofErr w:type="spellEnd"/>
      <w:r w:rsidR="006B11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A2E">
        <w:rPr>
          <w:rFonts w:ascii="Arial" w:hAnsi="Arial" w:cs="Arial"/>
          <w:sz w:val="24"/>
          <w:szCs w:val="24"/>
        </w:rPr>
        <w:t>MasterCard</w:t>
      </w:r>
      <w:proofErr w:type="spellEnd"/>
      <w:r w:rsidR="006B11D2">
        <w:rPr>
          <w:rFonts w:ascii="Arial" w:hAnsi="Arial" w:cs="Arial"/>
          <w:sz w:val="24"/>
          <w:szCs w:val="24"/>
        </w:rPr>
        <w:t xml:space="preserve">, </w:t>
      </w:r>
      <w:r w:rsidR="006B11D2" w:rsidRPr="006B11D2">
        <w:rPr>
          <w:rFonts w:ascii="Arial" w:hAnsi="Arial" w:cs="Arial"/>
          <w:sz w:val="24"/>
          <w:szCs w:val="24"/>
        </w:rPr>
        <w:t>Национальное агентство финансовых исследований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>Сбербанк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="006B11D2" w:rsidRPr="006B11D2">
        <w:rPr>
          <w:rFonts w:ascii="Arial" w:hAnsi="Arial" w:cs="Arial"/>
          <w:sz w:val="24"/>
          <w:szCs w:val="24"/>
        </w:rPr>
        <w:t>Сбербанк страхование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>Страховая компания «Ренессанс Жизнь»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="006B11D2" w:rsidRPr="006B11D2">
        <w:rPr>
          <w:rFonts w:ascii="Arial" w:hAnsi="Arial" w:cs="Arial"/>
          <w:sz w:val="24"/>
          <w:szCs w:val="24"/>
        </w:rPr>
        <w:t>КБ «Ренессанс Кредит»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="00ED6A56" w:rsidRPr="00ED6A56">
        <w:rPr>
          <w:rFonts w:ascii="Arial" w:hAnsi="Arial" w:cs="Arial"/>
          <w:sz w:val="24"/>
          <w:szCs w:val="24"/>
        </w:rPr>
        <w:t>ООО «СК «РГС-Жизнь»</w:t>
      </w:r>
      <w:r w:rsidR="006B11D2">
        <w:rPr>
          <w:rFonts w:ascii="Arial" w:hAnsi="Arial" w:cs="Arial"/>
          <w:sz w:val="24"/>
          <w:szCs w:val="24"/>
        </w:rPr>
        <w:t xml:space="preserve">, </w:t>
      </w:r>
      <w:r w:rsidRPr="00EC0A2E">
        <w:rPr>
          <w:rFonts w:ascii="Arial" w:hAnsi="Arial" w:cs="Arial"/>
          <w:sz w:val="24"/>
          <w:szCs w:val="24"/>
        </w:rPr>
        <w:t xml:space="preserve">Банк </w:t>
      </w:r>
      <w:proofErr w:type="spellStart"/>
      <w:r w:rsidRPr="00EC0A2E">
        <w:rPr>
          <w:rFonts w:ascii="Arial" w:hAnsi="Arial" w:cs="Arial"/>
          <w:sz w:val="24"/>
          <w:szCs w:val="24"/>
        </w:rPr>
        <w:t>Хоум</w:t>
      </w:r>
      <w:proofErr w:type="spellEnd"/>
      <w:r w:rsidRPr="00EC0A2E">
        <w:rPr>
          <w:rFonts w:ascii="Arial" w:hAnsi="Arial" w:cs="Arial"/>
          <w:sz w:val="24"/>
          <w:szCs w:val="24"/>
        </w:rPr>
        <w:t xml:space="preserve"> Кредит</w:t>
      </w:r>
      <w:proofErr w:type="gramEnd"/>
    </w:p>
    <w:p w:rsidR="006B11D2" w:rsidRPr="006B11D2" w:rsidRDefault="006B11D2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b/>
          <w:sz w:val="24"/>
          <w:szCs w:val="24"/>
        </w:rPr>
      </w:pPr>
      <w:r w:rsidRPr="006B11D2">
        <w:rPr>
          <w:rFonts w:ascii="Arial" w:hAnsi="Arial" w:cs="Arial"/>
          <w:b/>
          <w:sz w:val="24"/>
          <w:szCs w:val="24"/>
        </w:rPr>
        <w:t>Генеральный информационный партнер:</w:t>
      </w:r>
    </w:p>
    <w:p w:rsidR="006B11D2" w:rsidRDefault="006B11D2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Комсомольская</w:t>
      </w:r>
      <w:proofErr w:type="gramEnd"/>
      <w:r>
        <w:rPr>
          <w:rFonts w:ascii="Arial" w:hAnsi="Arial" w:cs="Arial"/>
          <w:sz w:val="24"/>
          <w:szCs w:val="24"/>
        </w:rPr>
        <w:t xml:space="preserve"> правда»</w:t>
      </w:r>
    </w:p>
    <w:p w:rsidR="006B11D2" w:rsidRPr="006B11D2" w:rsidRDefault="006B11D2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b/>
          <w:sz w:val="24"/>
          <w:szCs w:val="24"/>
        </w:rPr>
      </w:pPr>
      <w:r w:rsidRPr="006B11D2">
        <w:rPr>
          <w:rFonts w:ascii="Arial" w:hAnsi="Arial" w:cs="Arial"/>
          <w:b/>
          <w:sz w:val="24"/>
          <w:szCs w:val="24"/>
        </w:rPr>
        <w:t>Информационные партнеры:</w:t>
      </w:r>
    </w:p>
    <w:p w:rsidR="006B11D2" w:rsidRDefault="006B11D2" w:rsidP="00F5779C">
      <w:pPr>
        <w:spacing w:before="60" w:after="120" w:line="264" w:lineRule="auto"/>
        <w:ind w:left="851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ТАСС, «Интерфакс»</w:t>
      </w:r>
    </w:p>
    <w:sectPr w:rsidR="006B11D2" w:rsidSect="00C0217E">
      <w:headerReference w:type="default" r:id="rId10"/>
      <w:pgSz w:w="11906" w:h="16838"/>
      <w:pgMar w:top="2835" w:right="850" w:bottom="1134" w:left="851" w:header="1135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E3" w:rsidRDefault="001815E3" w:rsidP="003B65B3">
      <w:pPr>
        <w:spacing w:after="0" w:line="240" w:lineRule="auto"/>
      </w:pPr>
      <w:r>
        <w:separator/>
      </w:r>
    </w:p>
  </w:endnote>
  <w:endnote w:type="continuationSeparator" w:id="0">
    <w:p w:rsidR="001815E3" w:rsidRDefault="001815E3" w:rsidP="003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E3" w:rsidRDefault="001815E3" w:rsidP="003B65B3">
      <w:pPr>
        <w:spacing w:after="0" w:line="240" w:lineRule="auto"/>
      </w:pPr>
      <w:r>
        <w:separator/>
      </w:r>
    </w:p>
  </w:footnote>
  <w:footnote w:type="continuationSeparator" w:id="0">
    <w:p w:rsidR="001815E3" w:rsidRDefault="001815E3" w:rsidP="003B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A13AD66" wp14:editId="5FF012BF">
          <wp:simplePos x="0" y="0"/>
          <wp:positionH relativeFrom="column">
            <wp:posOffset>-2540</wp:posOffset>
          </wp:positionH>
          <wp:positionV relativeFrom="paragraph">
            <wp:posOffset>-2540</wp:posOffset>
          </wp:positionV>
          <wp:extent cx="2221200" cy="709200"/>
          <wp:effectExtent l="0" t="0" r="8255" b="0"/>
          <wp:wrapTight wrapText="right">
            <wp:wrapPolygon edited="0">
              <wp:start x="0" y="0"/>
              <wp:lineTo x="0" y="20903"/>
              <wp:lineTo x="21495" y="20903"/>
              <wp:lineTo x="2149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zhi-s-finansa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7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378">
      <w:rPr>
        <w:rFonts w:ascii="Tahoma" w:hAnsi="Tahoma" w:cs="Tahoma"/>
        <w:b/>
        <w:color w:val="909090"/>
        <w:sz w:val="14"/>
        <w:szCs w:val="14"/>
      </w:rPr>
      <w:ptab w:relativeTo="margin" w:alignment="center" w:leader="none"/>
    </w:r>
    <w:r w:rsidRPr="00F9501C">
      <w:rPr>
        <w:rFonts w:ascii="Tahoma" w:hAnsi="Tahoma" w:cs="Tahoma"/>
        <w:b/>
        <w:sz w:val="14"/>
        <w:szCs w:val="14"/>
      </w:rPr>
      <w:ptab w:relativeTo="margin" w:alignment="right" w:leader="none"/>
    </w:r>
    <w:r w:rsidR="00F70DDB" w:rsidRPr="00A428A8">
      <w:rPr>
        <w:rFonts w:ascii="Tahoma" w:hAnsi="Tahoma" w:cs="Tahoma"/>
        <w:b/>
        <w:sz w:val="14"/>
        <w:szCs w:val="14"/>
      </w:rPr>
      <w:tab/>
    </w:r>
    <w:r w:rsidR="00F70DDB" w:rsidRPr="00A428A8">
      <w:rPr>
        <w:rFonts w:ascii="Tahoma" w:hAnsi="Tahoma" w:cs="Tahoma"/>
        <w:b/>
        <w:sz w:val="14"/>
        <w:szCs w:val="14"/>
      </w:rPr>
      <w:tab/>
    </w:r>
    <w:r w:rsidR="00F70DDB" w:rsidRPr="00A428A8">
      <w:rPr>
        <w:rFonts w:ascii="Tahoma" w:hAnsi="Tahoma" w:cs="Tahoma"/>
        <w:b/>
        <w:sz w:val="14"/>
        <w:szCs w:val="14"/>
      </w:rPr>
      <w:tab/>
    </w:r>
    <w:r w:rsidRPr="00F9501C">
      <w:rPr>
        <w:rFonts w:ascii="Tahoma" w:hAnsi="Tahoma" w:cs="Tahoma"/>
        <w:b/>
        <w:sz w:val="14"/>
        <w:szCs w:val="14"/>
      </w:rPr>
      <w:t xml:space="preserve">ПРОЕКТ </w:t>
    </w:r>
    <w:r w:rsidR="00DB77DD">
      <w:rPr>
        <w:rFonts w:ascii="Tahoma" w:hAnsi="Tahoma" w:cs="Tahoma"/>
        <w:b/>
        <w:sz w:val="14"/>
        <w:szCs w:val="14"/>
      </w:rPr>
      <w:t>МИНФИНА РОССИИ</w:t>
    </w:r>
  </w:p>
  <w:p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«СОДЕЙСТВИЕ ПОВЫШЕНИЮ УРОВНЯ</w:t>
    </w:r>
  </w:p>
  <w:p w:rsidR="00341378" w:rsidRPr="00F9501C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ФИНАНСОВОЙ ГРАМОТНОСТИ НАСЕЛЕНИЯ</w:t>
    </w:r>
  </w:p>
  <w:p w:rsidR="00C0217E" w:rsidRDefault="0034137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 w:rsidRPr="00F9501C">
      <w:rPr>
        <w:rFonts w:ascii="Tahoma" w:hAnsi="Tahoma" w:cs="Tahoma"/>
        <w:b/>
        <w:sz w:val="14"/>
        <w:szCs w:val="14"/>
      </w:rPr>
      <w:t>И РАЗВИТИЮ ФИНАНСОВОГО ОБРАЗОВАНИЯ</w:t>
    </w:r>
  </w:p>
  <w:p w:rsidR="003B65B3" w:rsidRDefault="00DB77DD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В РОССИЙСКОЙ ФЕДЕРАЦИИ</w:t>
    </w:r>
    <w:r w:rsidR="00341378" w:rsidRPr="00F9501C">
      <w:rPr>
        <w:rFonts w:ascii="Tahoma" w:hAnsi="Tahoma" w:cs="Tahoma"/>
        <w:b/>
        <w:sz w:val="14"/>
        <w:szCs w:val="14"/>
      </w:rPr>
      <w:t>»</w:t>
    </w:r>
  </w:p>
  <w:p w:rsidR="009E6758" w:rsidRDefault="009E6758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  <w:p w:rsidR="009E6758" w:rsidRPr="00F9501C" w:rsidRDefault="003A6769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80C215A" wp14:editId="246825C1">
              <wp:simplePos x="0" y="0"/>
              <wp:positionH relativeFrom="column">
                <wp:posOffset>-6985</wp:posOffset>
              </wp:positionH>
              <wp:positionV relativeFrom="paragraph">
                <wp:posOffset>85089</wp:posOffset>
              </wp:positionV>
              <wp:extent cx="659447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44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16B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6.7pt;width:519.25pt;height:0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" strokecolor="#016b24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8"/>
    <w:rsid w:val="000113EC"/>
    <w:rsid w:val="00075425"/>
    <w:rsid w:val="000772B4"/>
    <w:rsid w:val="000A2E64"/>
    <w:rsid w:val="00174F3C"/>
    <w:rsid w:val="001815E3"/>
    <w:rsid w:val="001E292C"/>
    <w:rsid w:val="00237EDE"/>
    <w:rsid w:val="002670C3"/>
    <w:rsid w:val="002E4242"/>
    <w:rsid w:val="00317E51"/>
    <w:rsid w:val="003320DD"/>
    <w:rsid w:val="00341378"/>
    <w:rsid w:val="00367457"/>
    <w:rsid w:val="003A3744"/>
    <w:rsid w:val="003A6769"/>
    <w:rsid w:val="003B65B3"/>
    <w:rsid w:val="0041691B"/>
    <w:rsid w:val="00443CBE"/>
    <w:rsid w:val="004B7514"/>
    <w:rsid w:val="004D6091"/>
    <w:rsid w:val="00523E6D"/>
    <w:rsid w:val="00551D1B"/>
    <w:rsid w:val="00604271"/>
    <w:rsid w:val="006B11D2"/>
    <w:rsid w:val="008311F4"/>
    <w:rsid w:val="0088443E"/>
    <w:rsid w:val="008A6C19"/>
    <w:rsid w:val="00936283"/>
    <w:rsid w:val="009E6758"/>
    <w:rsid w:val="00A217BA"/>
    <w:rsid w:val="00A428A8"/>
    <w:rsid w:val="00A66AA1"/>
    <w:rsid w:val="00B0055A"/>
    <w:rsid w:val="00B659A5"/>
    <w:rsid w:val="00B8243E"/>
    <w:rsid w:val="00C0217E"/>
    <w:rsid w:val="00CA14A8"/>
    <w:rsid w:val="00D67F48"/>
    <w:rsid w:val="00D715F5"/>
    <w:rsid w:val="00D84895"/>
    <w:rsid w:val="00DB77DD"/>
    <w:rsid w:val="00DF636B"/>
    <w:rsid w:val="00E82FE5"/>
    <w:rsid w:val="00E85036"/>
    <w:rsid w:val="00E95D0C"/>
    <w:rsid w:val="00EB131D"/>
    <w:rsid w:val="00EC0A2E"/>
    <w:rsid w:val="00ED6A56"/>
    <w:rsid w:val="00F007E3"/>
    <w:rsid w:val="00F37240"/>
    <w:rsid w:val="00F5779C"/>
    <w:rsid w:val="00F70DDB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rsid w:val="00DF636B"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1"/>
    <w:link w:val="aa"/>
    <w:qFormat/>
    <w:rsid w:val="00F70DDB"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1"/>
    <w:link w:val="ac"/>
    <w:qFormat/>
    <w:rsid w:val="00F70DDB"/>
    <w:rPr>
      <w:b w:val="0"/>
    </w:rPr>
  </w:style>
  <w:style w:type="character" w:customStyle="1" w:styleId="aa">
    <w:name w:val="Зелененький Знак"/>
    <w:basedOn w:val="12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character" w:customStyle="1" w:styleId="ac">
    <w:name w:val="Основной набор Знак"/>
    <w:basedOn w:val="12"/>
    <w:link w:val="ab"/>
    <w:rsid w:val="00F70DDB"/>
    <w:rPr>
      <w:rFonts w:ascii="Tahoma" w:hAnsi="Tahoma" w:cs="Tahoma"/>
      <w:b w:val="0"/>
      <w:sz w:val="20"/>
      <w:szCs w:val="20"/>
    </w:rPr>
  </w:style>
  <w:style w:type="character" w:styleId="ad">
    <w:name w:val="Hyperlink"/>
    <w:basedOn w:val="a0"/>
    <w:uiPriority w:val="99"/>
    <w:unhideWhenUsed/>
    <w:rsid w:val="00A428A8"/>
    <w:rPr>
      <w:color w:val="0000FF" w:themeColor="hyperlink"/>
      <w:u w:val="single"/>
    </w:rPr>
  </w:style>
  <w:style w:type="paragraph" w:customStyle="1" w:styleId="ae">
    <w:name w:val="ЛИД"/>
    <w:basedOn w:val="1"/>
    <w:link w:val="af"/>
    <w:qFormat/>
    <w:rsid w:val="000A2E64"/>
    <w:pPr>
      <w:ind w:left="1276" w:firstLine="0"/>
    </w:pPr>
    <w:rPr>
      <w:sz w:val="22"/>
      <w:szCs w:val="22"/>
    </w:rPr>
  </w:style>
  <w:style w:type="character" w:customStyle="1" w:styleId="af">
    <w:name w:val="ЛИД Знак"/>
    <w:basedOn w:val="10"/>
    <w:link w:val="ae"/>
    <w:rsid w:val="000A2E64"/>
    <w:rPr>
      <w:rFonts w:ascii="Tahoma" w:hAnsi="Tahoma" w:cs="Tahoma"/>
      <w:b/>
      <w:sz w:val="28"/>
      <w:szCs w:val="28"/>
    </w:rPr>
  </w:style>
  <w:style w:type="table" w:styleId="af0">
    <w:name w:val="Table Grid"/>
    <w:basedOn w:val="a1"/>
    <w:rsid w:val="009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3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B77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77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77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77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77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">
    <w:name w:val="ЗАГОЛОВОК_1"/>
    <w:basedOn w:val="a"/>
    <w:link w:val="10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1">
    <w:name w:val="ПОДЗАГОЛОВОК_1"/>
    <w:basedOn w:val="1"/>
    <w:link w:val="12"/>
    <w:qFormat/>
    <w:rsid w:val="00DF636B"/>
    <w:pPr>
      <w:ind w:left="851" w:firstLine="0"/>
    </w:pPr>
    <w:rPr>
      <w:sz w:val="20"/>
      <w:szCs w:val="20"/>
    </w:rPr>
  </w:style>
  <w:style w:type="character" w:customStyle="1" w:styleId="10">
    <w:name w:val="ЗАГОЛОВОК_1 Знак"/>
    <w:basedOn w:val="a0"/>
    <w:link w:val="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1"/>
    <w:link w:val="aa"/>
    <w:qFormat/>
    <w:rsid w:val="00F70DDB"/>
    <w:rPr>
      <w:color w:val="22B08F"/>
      <w:sz w:val="22"/>
      <w:szCs w:val="22"/>
    </w:rPr>
  </w:style>
  <w:style w:type="character" w:customStyle="1" w:styleId="12">
    <w:name w:val="ПОДЗАГОЛОВОК_1 Знак"/>
    <w:basedOn w:val="10"/>
    <w:link w:val="11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1"/>
    <w:link w:val="ac"/>
    <w:qFormat/>
    <w:rsid w:val="00F70DDB"/>
    <w:rPr>
      <w:b w:val="0"/>
    </w:rPr>
  </w:style>
  <w:style w:type="character" w:customStyle="1" w:styleId="aa">
    <w:name w:val="Зелененький Знак"/>
    <w:basedOn w:val="12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character" w:customStyle="1" w:styleId="ac">
    <w:name w:val="Основной набор Знак"/>
    <w:basedOn w:val="12"/>
    <w:link w:val="ab"/>
    <w:rsid w:val="00F70DDB"/>
    <w:rPr>
      <w:rFonts w:ascii="Tahoma" w:hAnsi="Tahoma" w:cs="Tahoma"/>
      <w:b w:val="0"/>
      <w:sz w:val="20"/>
      <w:szCs w:val="20"/>
    </w:rPr>
  </w:style>
  <w:style w:type="character" w:styleId="ad">
    <w:name w:val="Hyperlink"/>
    <w:basedOn w:val="a0"/>
    <w:uiPriority w:val="99"/>
    <w:unhideWhenUsed/>
    <w:rsid w:val="00A428A8"/>
    <w:rPr>
      <w:color w:val="0000FF" w:themeColor="hyperlink"/>
      <w:u w:val="single"/>
    </w:rPr>
  </w:style>
  <w:style w:type="paragraph" w:customStyle="1" w:styleId="ae">
    <w:name w:val="ЛИД"/>
    <w:basedOn w:val="1"/>
    <w:link w:val="af"/>
    <w:qFormat/>
    <w:rsid w:val="000A2E64"/>
    <w:pPr>
      <w:ind w:left="1276" w:firstLine="0"/>
    </w:pPr>
    <w:rPr>
      <w:sz w:val="22"/>
      <w:szCs w:val="22"/>
    </w:rPr>
  </w:style>
  <w:style w:type="character" w:customStyle="1" w:styleId="af">
    <w:name w:val="ЛИД Знак"/>
    <w:basedOn w:val="10"/>
    <w:link w:val="ae"/>
    <w:rsid w:val="000A2E64"/>
    <w:rPr>
      <w:rFonts w:ascii="Tahoma" w:hAnsi="Tahoma" w:cs="Tahoma"/>
      <w:b/>
      <w:sz w:val="28"/>
      <w:szCs w:val="28"/>
    </w:rPr>
  </w:style>
  <w:style w:type="table" w:styleId="af0">
    <w:name w:val="Table Grid"/>
    <w:basedOn w:val="a1"/>
    <w:rsid w:val="009E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36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B77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77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77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77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7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d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erde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ivanov\Desktop\&#1064;&#1072;&#1073;&#1083;&#1086;&#1085;%20&#1087;&#1088;&#1077;&#1089;&#1089;-&#1088;&#1077;&#1083;&#1080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FD15-2D4E-46A5-867A-426758A3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пресс-релиза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Ivanov</dc:creator>
  <cp:lastModifiedBy>Яценко</cp:lastModifiedBy>
  <cp:revision>2</cp:revision>
  <dcterms:created xsi:type="dcterms:W3CDTF">2015-10-15T12:50:00Z</dcterms:created>
  <dcterms:modified xsi:type="dcterms:W3CDTF">2015-10-15T12:50:00Z</dcterms:modified>
</cp:coreProperties>
</file>